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1F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</w:p>
    <w:p w14:paraId="55ADCA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关于发布《境内单位代扣代缴自然人增值税管理办法》的公告</w:t>
      </w:r>
    </w:p>
    <w:p w14:paraId="66116B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 税务总局公告2026年第28号</w:t>
      </w:r>
    </w:p>
    <w:p w14:paraId="6EA2C5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根据《中华人民共和国增值税法》、《中华人民共和国税收征收管理法》、《中华人民共和国增值税法实施条例》及有关规定，财政部、税务总局制定了《境内单位代扣代缴自然人增值税管理办法》，现予公布。</w:t>
      </w:r>
    </w:p>
    <w:p w14:paraId="32DAC8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特此公告。</w:t>
      </w:r>
    </w:p>
    <w:p w14:paraId="708F39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附件：境内单位代扣代缴自然人增值税管理办法</w:t>
      </w:r>
    </w:p>
    <w:p w14:paraId="33597D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财政部  税务总局</w:t>
      </w:r>
    </w:p>
    <w:p w14:paraId="3E8800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2026年9月3日</w:t>
      </w:r>
    </w:p>
    <w:p w14:paraId="1B1617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0C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2026-09-07T06:01:31Z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1377F9C2AFE34A4DBCC44925A01C05DC_12</vt:lpwstr>
  </property>
</Properties>
</file>