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9DD08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default" w:ascii="Arial" w:hAnsi="Arial" w:eastAsia="微软雅黑" w:cs="Arial"/>
          <w:i w:val="0"/>
          <w:iCs w:val="0"/>
          <w:caps w:val="0"/>
          <w:color w:val="333333"/>
          <w:spacing w:val="0"/>
          <w:sz w:val="24"/>
          <w:szCs w:val="24"/>
          <w:bdr w:val="none" w:color="auto" w:sz="0" w:space="0"/>
          <w:shd w:val="clear" w:fill="FFFFFF"/>
        </w:rPr>
      </w:pPr>
      <w:r>
        <w:rPr>
          <w:rFonts w:hint="eastAsia" w:ascii="微软雅黑" w:hAnsi="微软雅黑" w:eastAsia="微软雅黑" w:cs="微软雅黑"/>
          <w:b/>
          <w:bCs/>
          <w:i w:val="0"/>
          <w:iCs w:val="0"/>
          <w:caps w:val="0"/>
          <w:color w:val="333333"/>
          <w:spacing w:val="0"/>
          <w:sz w:val="36"/>
          <w:szCs w:val="36"/>
          <w:bdr w:val="none" w:color="auto" w:sz="0" w:space="0"/>
          <w:shd w:val="clear" w:fill="FFFFFF"/>
        </w:rPr>
        <w:t>关于集成电路企业、工业母机企业非货币性资产交换企业所得税政策的公告</w:t>
      </w:r>
      <w:bookmarkStart w:id="0" w:name="_GoBack"/>
      <w:bookmarkEnd w:id="0"/>
    </w:p>
    <w:p w14:paraId="662886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422" w:afterAutospacing="0" w:line="27" w:lineRule="atLeast"/>
        <w:ind w:left="0" w:right="0"/>
        <w:jc w:val="center"/>
        <w:rPr>
          <w:rFonts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财政部 税务总局 国家发展改革委 工业和信息化部公告2026年第23号</w:t>
      </w:r>
    </w:p>
    <w:p w14:paraId="313F704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firstLine="480"/>
        <w:jc w:val="both"/>
        <w:textAlignment w:val="auto"/>
        <w:rPr>
          <w:rFonts w:hint="default" w:ascii="Arial" w:hAnsi="Arial" w:eastAsia="微软雅黑" w:cs="Arial"/>
          <w:i w:val="0"/>
          <w:iCs w:val="0"/>
          <w:caps w:val="0"/>
          <w:color w:val="333333"/>
          <w:spacing w:val="0"/>
          <w:sz w:val="24"/>
          <w:szCs w:val="24"/>
          <w:bdr w:val="none" w:color="auto" w:sz="0" w:space="0"/>
          <w:shd w:val="clear" w:fill="FFFFFF"/>
        </w:rPr>
      </w:pPr>
      <w:r>
        <w:rPr>
          <w:rFonts w:hint="default" w:ascii="Arial" w:hAnsi="Arial" w:eastAsia="微软雅黑" w:cs="Arial"/>
          <w:i w:val="0"/>
          <w:iCs w:val="0"/>
          <w:caps w:val="0"/>
          <w:color w:val="333333"/>
          <w:spacing w:val="0"/>
          <w:sz w:val="24"/>
          <w:szCs w:val="24"/>
          <w:bdr w:val="none" w:color="auto" w:sz="0" w:space="0"/>
          <w:shd w:val="clear" w:fill="FFFFFF"/>
        </w:rPr>
        <w:t>现就集成电路企业、工业母机企业非货币性资产交换企业所得税政策公告如下： </w:t>
      </w:r>
    </w:p>
    <w:p w14:paraId="1AF89E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firstLine="48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一、集成电路企业、工业母机企业在2026年1月1日至2028年12月31日期间发生非货币性资产交换，按规定确认的非货币性资产交换所得，可在不超过5年期限内分期均匀计入相应年度的应纳税所得额，按现行政策规定计算缴纳企业所得税；企业进行非货币性资产交换所发生的损失，不得分期确认。 </w:t>
      </w:r>
    </w:p>
    <w:p w14:paraId="3CA48A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二、与集成电路企业、工业母机企业发生非货币性资产交换的企业，应按现行政策规定确认非货币性资产交换所得并依法纳税。如发生非货币性资产交换的企业双方均为集成电路企业、工业母机企业，双方均可享受本公告规定的税收优惠政策。 </w:t>
      </w:r>
    </w:p>
    <w:p w14:paraId="3D9820F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三、发生非货币性资产交换的企业双方，应以非货币性资产交换中对应的换入非货币性资产的公允价值，扣除对应的换出非货币性资产的计税基础及相关税费后的余额，计算确认非货币性资产交换所得。 </w:t>
      </w:r>
    </w:p>
    <w:p w14:paraId="1A19E7D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四、发生非货币性资产交换的企业双方取得的非货币性资产，以该资产的公允价值和支付的相关税费为计税基础。 </w:t>
      </w:r>
    </w:p>
    <w:p w14:paraId="3643332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五、本公告所称非货币性资产，是指现金、存款、应收账款、应收票据以及准备持有至到期的债券投资等货币性资产以外的资产。本公告所称非货币性资产交换，是指企业以非货币性资产交换非货币性资产。 </w:t>
      </w:r>
    </w:p>
    <w:p w14:paraId="46854D1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一项交易同时涉及非货币性资产和货币性资产的，以非货币性资产换入非货币性资产的部分，相应确认的非货币性资产交换所得可按本公告规定适用分期纳税政策；以非货币性资产换入货币性资产的部分，属于取得货币形式对价的交易，应按现行规定确认相应的所得或损失，不得享受分期纳税政策，如交易双方均涉及货币性资产，换入货币性资产为货币性资产的差额。 </w:t>
      </w:r>
    </w:p>
    <w:p w14:paraId="598180E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六、集成电路企业、工业母机企业发生非货币性资产交换5年内转让所取得资产的，应停止执行分期纳税政策，并就分期纳税期内尚未确认的非货币性资产交换所得，在转让该资产当年的企业所得税年度汇算清缴时，一次性计算缴纳企业所得税。 </w:t>
      </w:r>
    </w:p>
    <w:p w14:paraId="1E8509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集成电路企业、工业母机企业在发生非货币性资产交换5年内注销的，应停止执行分期纳税政策，并就分期纳税期内尚未确认的非货币性资产交换所得，在注销当年的企业所得税年度汇算清缴时，一次性计算缴纳企业所得税。 </w:t>
      </w:r>
    </w:p>
    <w:p w14:paraId="75C0A3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七、本公告所称集成电路企业和工业母机企业，是指符合《财政部 税务总局 国家发展改革委 工业和信息化部关于提高集成电路和工业母机企业研发费用加计扣除比例的公告》（财政部 税务总局 国家发展改革委 工业和信息化部公告2023年第44号，以下简称44号公告）规定的企业。如有更新，从其规定。 </w:t>
      </w:r>
    </w:p>
    <w:p w14:paraId="59858A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按照44号公告采用清单管理的集成电路企业和工业母机企业，由国家发展改革委、工业和信息化部于每年3月底前按规定向财政部、税务总局提供上一年度可享受优惠的企业清单；不采用清单管理的，税务机关可按规定转请发展改革、工业和信息化部门进行核查。 </w:t>
      </w:r>
    </w:p>
    <w:p w14:paraId="55A992A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八、企业发生非货币性资产投资涉及的企业所得税，继续按《财政部 国家税务总局关于非货币性资产投资企业所得税政策问题的通知》（财税〔2014〕116号）、《财政部 国家税务总局关于完善股权激励和技术入股有关所得税政策的通知》（财税〔2016〕101号）执行。 </w:t>
      </w:r>
    </w:p>
    <w:p w14:paraId="5FB738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九、企业发生非货币性资产交换，符合《财政部 国家税务总局关于企业重组业务企业所得税处理若干问题的通知》（财税〔2009〕59号）、《财政部 国家税务总局关于促进企业重组有关企业所得税处理问题的通知》（财税〔2014〕109号）等文件规定的相关税收政策条件的，企业可选择按其中一项政策规定执行，一经选择不得改变。 </w:t>
      </w:r>
    </w:p>
    <w:p w14:paraId="619E46D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both"/>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十、本公告自2026年1月1日至2028年12月31日执行。企业在2028年12月31日享受本公告规定的分期纳税政策未满5年的，可继续享受至5年期满。 </w:t>
      </w:r>
    </w:p>
    <w:p w14:paraId="3CB6DA6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firstLine="480"/>
        <w:jc w:val="both"/>
        <w:textAlignment w:val="auto"/>
        <w:rPr>
          <w:rFonts w:hint="default" w:ascii="Arial" w:hAnsi="Arial" w:eastAsia="微软雅黑" w:cs="Arial"/>
          <w:i w:val="0"/>
          <w:iCs w:val="0"/>
          <w:caps w:val="0"/>
          <w:color w:val="333333"/>
          <w:spacing w:val="0"/>
          <w:sz w:val="24"/>
          <w:szCs w:val="24"/>
          <w:bdr w:val="none" w:color="auto" w:sz="0" w:space="0"/>
          <w:shd w:val="clear" w:fill="FFFFFF"/>
        </w:rPr>
      </w:pPr>
      <w:r>
        <w:rPr>
          <w:rFonts w:hint="default" w:ascii="Arial" w:hAnsi="Arial" w:eastAsia="微软雅黑" w:cs="Arial"/>
          <w:i w:val="0"/>
          <w:iCs w:val="0"/>
          <w:caps w:val="0"/>
          <w:color w:val="333333"/>
          <w:spacing w:val="0"/>
          <w:sz w:val="24"/>
          <w:szCs w:val="24"/>
          <w:bdr w:val="none" w:color="auto" w:sz="0" w:space="0"/>
          <w:shd w:val="clear" w:fill="FFFFFF"/>
        </w:rPr>
        <w:t>特此公告。 </w:t>
      </w:r>
    </w:p>
    <w:p w14:paraId="6E5EC56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firstLine="480"/>
        <w:jc w:val="right"/>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财政部    税务总局    国家发展改革委    工业和信息化部 </w:t>
      </w:r>
    </w:p>
    <w:p w14:paraId="671AA20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422" w:afterAutospacing="0" w:line="500" w:lineRule="exact"/>
        <w:ind w:left="0" w:right="0"/>
        <w:jc w:val="right"/>
        <w:textAlignment w:val="auto"/>
        <w:rPr>
          <w:rFonts w:hint="default" w:ascii="Arial" w:hAnsi="Arial" w:cs="Arial"/>
          <w:sz w:val="24"/>
          <w:szCs w:val="24"/>
        </w:rPr>
      </w:pPr>
      <w:r>
        <w:rPr>
          <w:rFonts w:hint="default" w:ascii="Arial" w:hAnsi="Arial" w:eastAsia="微软雅黑" w:cs="Arial"/>
          <w:i w:val="0"/>
          <w:iCs w:val="0"/>
          <w:caps w:val="0"/>
          <w:color w:val="333333"/>
          <w:spacing w:val="0"/>
          <w:sz w:val="24"/>
          <w:szCs w:val="24"/>
          <w:bdr w:val="none" w:color="auto" w:sz="0" w:space="0"/>
          <w:shd w:val="clear" w:fill="FFFFFF"/>
        </w:rPr>
        <w:t>　　                                2026年7月31日 </w:t>
      </w:r>
    </w:p>
    <w:p w14:paraId="76B6AA1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CB72EE"/>
    <w:rsid w:val="35642C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承诺</cp:lastModifiedBy>
  <dcterms:modified xsi:type="dcterms:W3CDTF">2026-08-17T07:23:52Z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eyJoZGlkIjoiMGRhYzNjZjU0NmIxOTM1MGM3YTEyY2IwMTA4MTJiYWIiLCJ1c2VySWQiOiIzNzY2MDA1MzgifQ==</vt:lpwstr>
  </property>
  <property fmtid="{D5CDD505-2E9C-101B-9397-08002B2CF9AE}" pid="4" name="ICV">
    <vt:lpwstr>39D4EB0346FC465EBA69C003DBF3873F_12</vt:lpwstr>
  </property>
</Properties>
</file>