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08539">
      <w:pPr>
        <w:adjustRightInd w:val="0"/>
        <w:snapToGrid w:val="0"/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 w14:paraId="0B580EF3">
      <w:pPr>
        <w:spacing w:line="560" w:lineRule="exact"/>
        <w:jc w:val="center"/>
        <w:rPr>
          <w:rFonts w:ascii="宋体" w:hAnsi="宋体" w:cs="宋体"/>
          <w:b/>
          <w:bCs/>
          <w:sz w:val="44"/>
          <w:szCs w:val="44"/>
        </w:rPr>
      </w:pPr>
    </w:p>
    <w:p w14:paraId="67BB7ABC">
      <w:pPr>
        <w:spacing w:line="560" w:lineRule="exact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赵县交通运输局部门</w:t>
      </w:r>
    </w:p>
    <w:p w14:paraId="7B6A2EB5">
      <w:pPr>
        <w:spacing w:line="560" w:lineRule="exact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44"/>
          <w:szCs w:val="44"/>
        </w:rPr>
        <w:t>年度整体支出绩效自评报告</w:t>
      </w:r>
    </w:p>
    <w:p w14:paraId="488B8CE6">
      <w:pPr>
        <w:spacing w:line="560" w:lineRule="exact"/>
        <w:jc w:val="center"/>
        <w:rPr>
          <w:rFonts w:ascii="华文楷体" w:eastAsia="华文楷体"/>
          <w:sz w:val="32"/>
          <w:szCs w:val="32"/>
        </w:rPr>
      </w:pPr>
    </w:p>
    <w:p w14:paraId="7D07C5C5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贯彻落实县委、县政府《全面落实预算绩效管理的实施意见》（[2019]77）文件精神，遵循“科学性、规范性、客观性和公正性”的原则，对赵县交通运输局部门202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年整体支出情况实施了财政支出绩效自评价，形成本评价报告。</w:t>
      </w:r>
    </w:p>
    <w:p w14:paraId="12E3AF0B">
      <w:pPr>
        <w:adjustRightInd w:val="0"/>
        <w:snapToGrid w:val="0"/>
        <w:spacing w:line="560" w:lineRule="exact"/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sz w:val="32"/>
          <w:szCs w:val="32"/>
        </w:rPr>
        <w:t xml:space="preserve">     一、部门</w:t>
      </w:r>
      <w:r>
        <w:rPr>
          <w:rFonts w:hint="eastAsia" w:ascii="黑体" w:hAnsi="黑体" w:eastAsia="黑体"/>
          <w:sz w:val="32"/>
          <w:szCs w:val="36"/>
        </w:rPr>
        <w:t>基本情况</w:t>
      </w:r>
      <w:bookmarkStart w:id="0" w:name="_GoBack"/>
      <w:bookmarkEnd w:id="0"/>
    </w:p>
    <w:p w14:paraId="0982B960"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（一）部门概况</w:t>
      </w:r>
    </w:p>
    <w:p w14:paraId="565DE762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贯彻执行国家、省、市县有关公路交通运输行业的方针、政策、法规，并组织实施和监督检查。拟订公路交通运输发展规划、中长期计划并组织实施；会同有关部门组织编制综合交通运输体系规划；参与拟订物流业发展战略与规划。指导城乡客运及有关设施规划和管理工作，指导出租汽车行业管理。会同有关部门开展交通运输行业的法制宣传、行政复议、行政应诉、行政执法和监督工作。指导交通运输行业开展经济技术交流与合作。承办县委、县政府和上级交通主管部门交办的其他事项。</w:t>
      </w:r>
    </w:p>
    <w:p w14:paraId="1CC855E9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（二）机构设置：交通运输局，成立于2010年3月，县政府职能部门，参照公务员制度管理。下属</w:t>
      </w: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个单位含本级。基本情况：本单位属行政事业机关单位，核定编制数为</w:t>
      </w:r>
      <w:r>
        <w:rPr>
          <w:rFonts w:ascii="仿宋" w:hAnsi="仿宋" w:eastAsia="仿宋" w:cs="仿宋"/>
          <w:sz w:val="32"/>
          <w:szCs w:val="32"/>
        </w:rPr>
        <w:t>271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实有人员261人，行政人员10人，事业人员241人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B3A8952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019D0A47"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部门收支预决算情况</w:t>
      </w:r>
    </w:p>
    <w:p w14:paraId="5E74DE05">
      <w:pPr>
        <w:ind w:firstLine="640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（1）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收入说明：</w:t>
      </w:r>
      <w:r>
        <w:rPr>
          <w:rFonts w:ascii="仿宋" w:hAnsi="仿宋" w:eastAsia="仿宋" w:cs="仿宋"/>
          <w:sz w:val="32"/>
          <w:szCs w:val="32"/>
          <w:highlight w:val="none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预算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9706.83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万元，其中：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人员类393.12万元，运转类52万元，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一般公共财政拨款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9261.71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万元。</w:t>
      </w:r>
    </w:p>
    <w:p w14:paraId="290EB3D1">
      <w:pPr>
        <w:ind w:firstLine="640" w:firstLineChars="200"/>
        <w:rPr>
          <w:rFonts w:hint="eastAsia" w:ascii="楷体" w:hAnsi="楷体" w:eastAsia="楷体" w:cs="楷体_GB2312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（2）支出说明：20</w:t>
      </w:r>
      <w:r>
        <w:rPr>
          <w:rFonts w:ascii="仿宋" w:hAnsi="仿宋" w:eastAsia="仿宋" w:cs="仿宋"/>
          <w:sz w:val="32"/>
          <w:szCs w:val="32"/>
          <w:highlight w:val="none"/>
        </w:rPr>
        <w:t>2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年部门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决算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支出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11563.25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万元，其中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一般公共预算财政拨款7732.78万元，政府性基金预算财政拨款383.74万元，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全部为本级支出。</w:t>
      </w:r>
    </w:p>
    <w:p w14:paraId="1F37482E"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（三）部门整体支出绩效目标、指标</w:t>
      </w:r>
    </w:p>
    <w:p w14:paraId="5E1B501F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我单位完成全年县管普通干线公路建设、农村公路建设、维护；场站建设；农村客运站点建设、维护；保障交通基础设施建设项目质量；保障道路通畅，完成运输生产任务，确保安全生产，提高服务保障水平。保障交通运输统计、调查业务顺利开展，保障各项业务工作畅通，保障机关正常工作高效运转。</w:t>
      </w:r>
    </w:p>
    <w:p w14:paraId="30DC7C53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二、自评工作开展情况</w:t>
      </w:r>
    </w:p>
    <w:p w14:paraId="76347B47">
      <w:pPr>
        <w:spacing w:line="560" w:lineRule="exact"/>
        <w:rPr>
          <w:rFonts w:ascii="楷体" w:hAnsi="楷体" w:eastAsia="楷体" w:cs="楷体_GB2312"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 xml:space="preserve">    </w:t>
      </w:r>
      <w:r>
        <w:rPr>
          <w:rFonts w:hint="eastAsia" w:ascii="楷体" w:hAnsi="楷体" w:eastAsia="楷体" w:cs="楷体_GB2312"/>
          <w:bCs/>
          <w:sz w:val="32"/>
          <w:szCs w:val="32"/>
        </w:rPr>
        <w:t>（一）自评的组织工作</w:t>
      </w:r>
    </w:p>
    <w:p w14:paraId="68146325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1、农村公路建设和养护：完成202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年农村公路建设养护任务，维修相关附属设施，使村民出行更加安全便捷。</w:t>
      </w:r>
    </w:p>
    <w:p w14:paraId="6BD1E03C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交通基础设施建设的协调、监督和管理：对在建建设项目开展平安工地建设监督抽查工作，加强施工现场安全风险防控和强化事故隐患排查整治；开展项目复工复产安全、汛期安全、安全生产月和“四不两直”暗查暗访等安全专项督查活动；做好工程建设过程中的协调管理工作；</w:t>
      </w:r>
    </w:p>
    <w:p w14:paraId="50B2CEC8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3、普通国省干线公路养护：根据上级补助资金额度，组织实施各项普通国省干线公路建设，完成投资任务。普通国省干线公路保障有力、安全畅通，保持良好的服务水平。 </w:t>
      </w:r>
    </w:p>
    <w:p w14:paraId="72F9F07F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4、农村公路以奖代补：实现农村公路有路必养。落实农村公路日常养护资金。</w:t>
      </w:r>
    </w:p>
    <w:p w14:paraId="253D0B1D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5、公路管理：对公路建设、养护、运营进行管理，维护路产路权，治理超限运输，保障通行能力，服务水平进一步提升。，保证公路超限检测站正常运行，普通公路检测超限超载率不超过2%。</w:t>
      </w:r>
    </w:p>
    <w:p w14:paraId="75381E9E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6、道路运输管理：全县道路运输应急保障能力进一步提高，加强货运源头企业监管，推进“两客一危”企业双控机制建设。“双控机制”创建完成率100%，“两客一危”营运车辆上线率90%以上。 </w:t>
      </w:r>
    </w:p>
    <w:p w14:paraId="6E315823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7、城市客运管理：指导全县城市客运行业的管理工作，保障行业安全稳定。完成出租汽车企业和从业人员服务质量信誉考核工作；新能源车推广，新增及更换公交车新能源比重达到85%；</w:t>
      </w:r>
    </w:p>
    <w:p w14:paraId="7274E5BD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8、综合事务管理：持续做好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防范化解重大风险</w:t>
      </w:r>
      <w:r>
        <w:rPr>
          <w:rFonts w:hint="eastAsia" w:ascii="仿宋" w:hAnsi="仿宋" w:eastAsia="仿宋" w:cs="仿宋"/>
          <w:sz w:val="32"/>
          <w:szCs w:val="32"/>
        </w:rPr>
        <w:t>工作，推进交通运输规划研究，加强法治政府建设，做好行政许可审批，加强队伍建设，做好巡察等工作。完成城乡交通运输一体化发展水平评估；完成交竣工项目的质量检测鉴定工作。</w:t>
      </w:r>
    </w:p>
    <w:p w14:paraId="402C19E4">
      <w:pPr>
        <w:numPr>
          <w:ilvl w:val="0"/>
          <w:numId w:val="2"/>
        </w:numPr>
        <w:spacing w:line="560" w:lineRule="exact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自评的方法和过程</w:t>
      </w:r>
    </w:p>
    <w:p w14:paraId="521570AC">
      <w:pPr>
        <w:numPr>
          <w:ilvl w:val="0"/>
          <w:numId w:val="0"/>
        </w:numPr>
        <w:spacing w:line="560" w:lineRule="exact"/>
        <w:ind w:left="642" w:leftChars="0"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，我单位积极履行部门职责，强化管理，较好地完成了年度工作目标。通过加强预算收支管理，不断建立健全内部管理制度，梳理内部管理流程，根据项目实际情况合理设定绩效目标，部门整体支出管理水平得到提升。</w:t>
      </w:r>
    </w:p>
    <w:p w14:paraId="7EB127FC">
      <w:pPr>
        <w:spacing w:line="5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三、部门整体支出绩效目标实现情况及指标分析</w:t>
      </w:r>
    </w:p>
    <w:p w14:paraId="676C8C5F">
      <w:pPr>
        <w:numPr>
          <w:ilvl w:val="0"/>
          <w:numId w:val="3"/>
        </w:numPr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总体绩效目标实现情况</w:t>
      </w:r>
    </w:p>
    <w:p w14:paraId="27428F29"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年度我部门共安排预算项目资金19488.3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万元，涉及项目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 w:cs="仿宋"/>
          <w:sz w:val="32"/>
          <w:szCs w:val="32"/>
        </w:rPr>
        <w:t>个,分别是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1、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农村公路工程款500万元。2、交通管理机构运行经费和人员经费421.26万元。3、赵县农村公路（部分村道）改造工程59万元。4、省道S339赵县后田村至元氏县铁屯村段改建工程（赵县段）项目附着物补偿费用229.84万元。5、公路改建经费（县配套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36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万元。6、成品油价格和税费改革基数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150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万元。7、新能源公路保洁车购置资金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300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万元。8、国柏路养护经费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46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万元。9、洒水经费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38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万元。1</w:t>
      </w:r>
      <w:r>
        <w:rPr>
          <w:rFonts w:ascii="仿宋" w:hAnsi="仿宋" w:eastAsia="仿宋" w:cs="宋体"/>
          <w:color w:val="000000"/>
          <w:kern w:val="0"/>
          <w:sz w:val="32"/>
          <w:szCs w:val="32"/>
          <w:highlight w:val="none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、308及赵元路绿化养护经费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78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万元。1</w:t>
      </w:r>
      <w:r>
        <w:rPr>
          <w:rFonts w:ascii="仿宋" w:hAnsi="仿宋" w:eastAsia="仿宋" w:cs="宋体"/>
          <w:color w:val="000000"/>
          <w:kern w:val="0"/>
          <w:sz w:val="32"/>
          <w:szCs w:val="32"/>
          <w:highlight w:val="none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、西外环和南外环路日常养护经费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highlight w:val="none"/>
        </w:rPr>
        <w:t>万元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。1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、308国道固城道口-栾城界路灯电费及北环路路灯电费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万元。1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、成品油税费改革税收返还资金的通知（冀财建【2021】196号）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702.37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万元。1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、公路养护经费（县配套）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37.3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万元。1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、交通运输综合执法经费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万元。1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6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、补助经费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1000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万元。1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7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、308收费站撤站补助、城乡客运管理经费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76.5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万元。1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、交通运输综合执法经费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893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万元。1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9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、制式服装和标志采购经费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45.57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万元。2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、河北省财政厅关于提前下达2025年交通运输领域专项资金预算（第一批）的通知（冀财建【2024】252号）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184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、河北省财政厅关于提前下达2025年农村公路建设养护发展专项资金的通知（冀财建【2024】281号）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177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万元。2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、普通国省干线公路建设养护发展资金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万元。2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、河北省财政厅关于提前下达2025年普通国省干线公路建设养护发展专项资金的通知（冀财建【2024】280号）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296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万元。2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、国道G308赵县绕城改建工程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万元。2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、赵县2022年主要干线公路两侧附属工程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万元。2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6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、赵元路京港澳高速至赵元界段两侧附属工程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万元。2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7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、赵县农村公路（部分乡道）改造工程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万元。2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、赵县农村公路（部分村道）改造工程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万元。2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9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、赵县农村公路项目改造工程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万元。3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、赵县果王线附属设施改造工程项目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万元。3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、赵县赵辛线（常家庄-大石桥段）养护改造工程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万元。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32、赵县干线公路两侧附属工程100万元。33、赵县经济开发区主干道改造工程100万元。34、省道S339赵县后田村至元氏县铁屯村段改建工程200万元。35、赵县农村公路（部分县道）改造工程200万元。36、赵县国省干线道路两侧整体改造工程100万元。37、赵县赵辛线(常家庄- 大石桥段)中修工程100万元。38、赵县工业四街绿化工程100万元。39、赵县新南公路 (果王公路至定魏公路段)改造工程500万元40、2025年农村客运补贴、城市交通发展奖励资金  冀财建[2024]248号264.63万元。41、交通管理机构运行经费和人员经费49.64万元。42、2024年车辆购置税收入补助地方资金预算（第三批）的通知（冀财建【2024】71号）100万元。43、2024年中央车辆购置税收入补助地方资金预算（第一批）的通知（冀财建【2023】257号）100万元。44、2024年中央车辆购置税收入补助地方资金预算（第一批）的通知（冀财建【2023】257号）100万元。45、国道G308赵县绕城段两侧附属设施改造提升工程100万元。46、赵县农村公路（其他乡镇片）改造工程100万元。47、赵州梨文化产业园区项目(梨乡风情旅游环线)道路工程445万元。48、国道G308赵县绕城改建工程100万元。49、赵县农村公路项目改造工程662万元。50、赵县赵辛线（常家庄-大石桥段）养护改造工程100万元。51、赵县2022年主要干线公路两侧附属工程266万元。52、省道S339赵县后田村至元氏县铁屯村段改建工程100万元。53、赵县农村公路（部分村道）改造工程133万元。54、赵县农村公路（部分乡道）改造工程397万元。55、赵县新南公路 (果王公路至定魏公路段)改造工程133万元。56、赵县农村公路（部分县道）改造工程464万元。57、赵县南外环西外环-308国道段大修工程100万元。58、赵县城市停车场综合服务项目2248万元。59、赵县交通运输局拖欠企业账款项目第一批56.9万元。60、国道G308绕城改建工程（稻香路-石塔路段）涉及县生活垃圾焚烧发电项目配套中水回用设施管道加固工程50万元。61、赵县交通运输局拖欠企业账款项目第四批168.64万元。62、赵县交通运输局拖欠企业账款第四批（二）102.48万元。63、赵县交通运输局拖欠企业账款项目第四批9.78万元。64、城市停车场综合服务项目工程其他费用242.62万元。65、赵县农村公路（部分村道）改造工程75万元。66、赵县农村公路（部分村道）改造工程一标段75万元。67、河北省财政厅关于清算2025年农村客运补贴、城市交通发展奖励资金的通知  冀财建﹝2025﹞155号61.62万元。68、农村公路工程款1000万元。69、补助经费85万元。70、拖欠企业账款项目（第二批资金）84.39万元71、交通局拖欠企业账款项目（11月第一批）1767.65万元。72、交通运输综合执法经费100万元。73、新能源公路保洁车购置资金200万元。74、补助经费500万元。</w:t>
      </w:r>
    </w:p>
    <w:p w14:paraId="588909F1">
      <w:pPr>
        <w:spacing w:line="560" w:lineRule="exact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仿宋" w:hAnsi="仿宋" w:eastAsia="仿宋" w:cs="楷体_GB2312"/>
          <w:b/>
          <w:bCs/>
          <w:sz w:val="32"/>
          <w:szCs w:val="32"/>
        </w:rPr>
        <w:t xml:space="preserve">    </w:t>
      </w:r>
      <w:r>
        <w:rPr>
          <w:rFonts w:hint="eastAsia" w:ascii="楷体" w:hAnsi="楷体" w:eastAsia="楷体" w:cs="楷体_GB2312"/>
          <w:bCs/>
          <w:sz w:val="32"/>
          <w:szCs w:val="32"/>
        </w:rPr>
        <w:t>（二）分项绩效目标实现情况及指标分析</w:t>
      </w:r>
    </w:p>
    <w:p w14:paraId="1480F80A"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按照项目预算绩效目标要求，完成了项目资金的使用，</w:t>
      </w:r>
      <w:r>
        <w:rPr>
          <w:rFonts w:hint="eastAsia" w:ascii="仿宋" w:hAnsi="仿宋" w:eastAsia="仿宋"/>
          <w:sz w:val="32"/>
          <w:szCs w:val="32"/>
        </w:rPr>
        <w:t>对分项目标指标完成情况进行了评价，指标进行了细化、量化，得分依据充分，</w:t>
      </w:r>
      <w:r>
        <w:rPr>
          <w:rFonts w:hint="eastAsia" w:ascii="仿宋" w:hAnsi="仿宋" w:eastAsia="仿宋" w:cs="仿宋"/>
          <w:sz w:val="32"/>
          <w:szCs w:val="32"/>
        </w:rPr>
        <w:t>基本实现了绩效目标。</w:t>
      </w:r>
    </w:p>
    <w:p w14:paraId="408B3B09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四、评价结论和评价等级</w:t>
      </w:r>
    </w:p>
    <w:p w14:paraId="535E7953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根据部门职责定位和各项工作履职情况进行综合评价，给出总得分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89.96</w:t>
      </w:r>
      <w:r>
        <w:rPr>
          <w:rFonts w:hint="eastAsia" w:ascii="仿宋" w:hAnsi="仿宋" w:eastAsia="仿宋"/>
          <w:sz w:val="32"/>
          <w:szCs w:val="32"/>
        </w:rPr>
        <w:t>分，得出综合绩效评价优秀等级。部门整体支出综合绩效评价分为优秀等级。</w:t>
      </w:r>
    </w:p>
    <w:p w14:paraId="5A8A1DDC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五、存在的问题及改进措施</w:t>
      </w:r>
    </w:p>
    <w:p w14:paraId="2692E8EE">
      <w:pPr>
        <w:spacing w:line="560" w:lineRule="exact"/>
        <w:ind w:firstLine="640" w:firstLineChars="200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（一）存在的主要问题</w:t>
      </w:r>
    </w:p>
    <w:p w14:paraId="723D5E94">
      <w:pPr>
        <w:spacing w:line="560" w:lineRule="exact"/>
        <w:ind w:firstLine="640" w:firstLineChars="200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要进一步加强预算绩效管理 要加强事前、事中及事后的预算的管理，充分评估工作 安排的合理性，必要性。加强年初预算编制前，要做好前期调研，设立绩效目标。</w:t>
      </w:r>
    </w:p>
    <w:p w14:paraId="25D0613F">
      <w:pPr>
        <w:numPr>
          <w:ilvl w:val="0"/>
          <w:numId w:val="3"/>
        </w:numPr>
        <w:ind w:left="0" w:leftChars="0" w:firstLine="640" w:firstLineChars="200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针对问题提出具体的改进措施或建议</w:t>
      </w:r>
    </w:p>
    <w:p w14:paraId="18AB85F7">
      <w:pPr>
        <w:numPr>
          <w:ilvl w:val="0"/>
          <w:numId w:val="0"/>
        </w:numPr>
        <w:ind w:leftChars="200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在今后的工作中要进一步加强预算绩效管理 要加强事前、事中及事后的预算的管理，充分评估工作 安排的合理性，必要性。项目年初预算编制前，要做好前期调研，设立绩效目标要充分考虑外界因素的影响；项目实施期间，加大对预算编制与执行的监督管理力度，提高预算资金使用效率； 优化绩效目标 绩效指标设立要更加科学、合理、可衡量。在设立指标时候要充分考虑指标设定的可实施性，可考核性，要尽可能的量化，细化。 要注重绩效评价结果的运用，对照绩效评价工作中发现的问题，结合绩效评价报告中提出的整改意见，进一步完善预算管理机制，增强支出责任，规范资金使用，强化监督检查，提高预算管理水平，为预算资金使用效益的提高提供基础保障。 </w:t>
      </w:r>
    </w:p>
    <w:p w14:paraId="024A58CB">
      <w:pPr>
        <w:spacing w:line="560" w:lineRule="exact"/>
        <w:ind w:firstLine="640" w:firstLineChars="200"/>
        <w:rPr>
          <w:rFonts w:ascii="楷体" w:hAnsi="楷体" w:eastAsia="楷体"/>
          <w:bCs/>
          <w:sz w:val="32"/>
          <w:szCs w:val="32"/>
        </w:rPr>
      </w:pPr>
    </w:p>
    <w:p w14:paraId="6500724A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六、评价工作组人员名单及签字（姓名、工作单位）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3690"/>
        <w:gridCol w:w="2388"/>
      </w:tblGrid>
      <w:tr w14:paraId="1A88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2802" w:type="dxa"/>
          </w:tcPr>
          <w:p w14:paraId="7D347D4A">
            <w:pPr>
              <w:spacing w:line="5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姓名</w:t>
            </w:r>
          </w:p>
        </w:tc>
        <w:tc>
          <w:tcPr>
            <w:tcW w:w="3690" w:type="dxa"/>
          </w:tcPr>
          <w:p w14:paraId="4FFD2A06">
            <w:pPr>
              <w:spacing w:line="56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工作单位</w:t>
            </w:r>
          </w:p>
        </w:tc>
        <w:tc>
          <w:tcPr>
            <w:tcW w:w="2388" w:type="dxa"/>
          </w:tcPr>
          <w:p w14:paraId="77B83C04">
            <w:pPr>
              <w:spacing w:line="56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职务</w:t>
            </w:r>
          </w:p>
        </w:tc>
      </w:tr>
      <w:tr w14:paraId="74193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802" w:type="dxa"/>
          </w:tcPr>
          <w:p w14:paraId="39FCC441">
            <w:pPr>
              <w:spacing w:line="560" w:lineRule="exact"/>
              <w:jc w:val="center"/>
              <w:rPr>
                <w:rFonts w:hint="default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苏路涛</w:t>
            </w:r>
          </w:p>
        </w:tc>
        <w:tc>
          <w:tcPr>
            <w:tcW w:w="3690" w:type="dxa"/>
          </w:tcPr>
          <w:p w14:paraId="2F476595">
            <w:pPr>
              <w:spacing w:line="560" w:lineRule="exact"/>
              <w:jc w:val="center"/>
              <w:rPr>
                <w:rFonts w:hint="default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赵县交通运输局</w:t>
            </w:r>
          </w:p>
        </w:tc>
        <w:tc>
          <w:tcPr>
            <w:tcW w:w="2388" w:type="dxa"/>
          </w:tcPr>
          <w:p w14:paraId="47E14651">
            <w:pPr>
              <w:spacing w:line="560" w:lineRule="exact"/>
              <w:jc w:val="center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科员</w:t>
            </w:r>
          </w:p>
        </w:tc>
      </w:tr>
      <w:tr w14:paraId="58E87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2802" w:type="dxa"/>
          </w:tcPr>
          <w:p w14:paraId="12E3A2BC">
            <w:pPr>
              <w:spacing w:line="560" w:lineRule="exact"/>
              <w:jc w:val="center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马腾</w:t>
            </w:r>
          </w:p>
        </w:tc>
        <w:tc>
          <w:tcPr>
            <w:tcW w:w="3690" w:type="dxa"/>
          </w:tcPr>
          <w:p w14:paraId="21EA9772">
            <w:pPr>
              <w:spacing w:line="5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赵县交通运输局</w:t>
            </w:r>
          </w:p>
        </w:tc>
        <w:tc>
          <w:tcPr>
            <w:tcW w:w="2388" w:type="dxa"/>
          </w:tcPr>
          <w:p w14:paraId="364CA649">
            <w:pPr>
              <w:spacing w:line="560" w:lineRule="exact"/>
              <w:jc w:val="center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科长</w:t>
            </w:r>
          </w:p>
        </w:tc>
      </w:tr>
      <w:tr w14:paraId="6F27E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02" w:type="dxa"/>
          </w:tcPr>
          <w:p w14:paraId="4C0ECDB8">
            <w:pPr>
              <w:spacing w:line="560" w:lineRule="exact"/>
              <w:jc w:val="center"/>
              <w:rPr>
                <w:rFonts w:hint="default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孟立伟</w:t>
            </w:r>
          </w:p>
        </w:tc>
        <w:tc>
          <w:tcPr>
            <w:tcW w:w="3690" w:type="dxa"/>
          </w:tcPr>
          <w:p w14:paraId="710697D7">
            <w:pPr>
              <w:spacing w:line="5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赵县交通运输局</w:t>
            </w:r>
          </w:p>
        </w:tc>
        <w:tc>
          <w:tcPr>
            <w:tcW w:w="2388" w:type="dxa"/>
          </w:tcPr>
          <w:p w14:paraId="41A92D56">
            <w:pPr>
              <w:spacing w:line="560" w:lineRule="exact"/>
              <w:jc w:val="center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>局长</w:t>
            </w:r>
          </w:p>
        </w:tc>
      </w:tr>
    </w:tbl>
    <w:p w14:paraId="301CB8F4">
      <w:pPr>
        <w:spacing w:line="560" w:lineRule="exact"/>
        <w:rPr>
          <w:rFonts w:ascii="仿宋" w:hAnsi="仿宋" w:eastAsia="仿宋"/>
        </w:rPr>
      </w:pPr>
    </w:p>
    <w:p w14:paraId="3B2E6E86">
      <w:pPr>
        <w:spacing w:line="560" w:lineRule="exact"/>
        <w:rPr>
          <w:rFonts w:ascii="仿宋" w:hAnsi="仿宋" w:eastAsia="仿宋"/>
        </w:rPr>
      </w:pPr>
    </w:p>
    <w:sectPr>
      <w:footerReference r:id="rId3" w:type="default"/>
      <w:pgSz w:w="11906" w:h="16838"/>
      <w:pgMar w:top="1440" w:right="1474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7942E">
    <w:pPr>
      <w:pStyle w:val="2"/>
    </w:pPr>
    <w:r>
      <w:pict>
        <v:shape id="Quad Arrow 307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565D18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- 2 -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F7E62E"/>
    <w:multiLevelType w:val="singleLevel"/>
    <w:tmpl w:val="81F7E62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516AA81"/>
    <w:multiLevelType w:val="singleLevel"/>
    <w:tmpl w:val="0516AA81"/>
    <w:lvl w:ilvl="0" w:tentative="0">
      <w:start w:val="2"/>
      <w:numFmt w:val="chineseCounting"/>
      <w:suff w:val="nothing"/>
      <w:lvlText w:val="（%1）"/>
      <w:lvlJc w:val="left"/>
      <w:pPr>
        <w:ind w:left="642" w:firstLine="0"/>
      </w:pPr>
      <w:rPr>
        <w:rFonts w:hint="eastAsia"/>
      </w:rPr>
    </w:lvl>
  </w:abstractNum>
  <w:abstractNum w:abstractNumId="2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rPr>
        <w:rFonts w:ascii="楷体" w:hAnsi="楷体" w:eastAsia="楷体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gxMzVhZTBlNDUyZWUxNDVhMjNkN2E1NjFlOTE5NDcifQ=="/>
  </w:docVars>
  <w:rsids>
    <w:rsidRoot w:val="0EBD2122"/>
    <w:rsid w:val="000B0260"/>
    <w:rsid w:val="002C1006"/>
    <w:rsid w:val="007E6C1F"/>
    <w:rsid w:val="00956A93"/>
    <w:rsid w:val="009D11C5"/>
    <w:rsid w:val="009E575C"/>
    <w:rsid w:val="00AB45AC"/>
    <w:rsid w:val="00AF167E"/>
    <w:rsid w:val="00AF566A"/>
    <w:rsid w:val="00B478EA"/>
    <w:rsid w:val="00B6553A"/>
    <w:rsid w:val="00BC6576"/>
    <w:rsid w:val="00C968D1"/>
    <w:rsid w:val="00CE06BA"/>
    <w:rsid w:val="00F441CC"/>
    <w:rsid w:val="00F75EFB"/>
    <w:rsid w:val="01B104CA"/>
    <w:rsid w:val="02106AB0"/>
    <w:rsid w:val="02B43A28"/>
    <w:rsid w:val="046F331E"/>
    <w:rsid w:val="0636606A"/>
    <w:rsid w:val="07956271"/>
    <w:rsid w:val="09721397"/>
    <w:rsid w:val="0BB63BED"/>
    <w:rsid w:val="0E0662D9"/>
    <w:rsid w:val="0EB97A43"/>
    <w:rsid w:val="0EBD2122"/>
    <w:rsid w:val="0F214EAE"/>
    <w:rsid w:val="11B71E6A"/>
    <w:rsid w:val="13BF5911"/>
    <w:rsid w:val="1490577D"/>
    <w:rsid w:val="1AAF0063"/>
    <w:rsid w:val="1BE140DE"/>
    <w:rsid w:val="1D491BD5"/>
    <w:rsid w:val="1D5C7CC4"/>
    <w:rsid w:val="226F3180"/>
    <w:rsid w:val="248C197D"/>
    <w:rsid w:val="252959AF"/>
    <w:rsid w:val="26DE7C7C"/>
    <w:rsid w:val="277A6671"/>
    <w:rsid w:val="281A529E"/>
    <w:rsid w:val="281C6E21"/>
    <w:rsid w:val="28887BBF"/>
    <w:rsid w:val="292D35B7"/>
    <w:rsid w:val="2D48407F"/>
    <w:rsid w:val="33EB6CFF"/>
    <w:rsid w:val="34142C4F"/>
    <w:rsid w:val="35A12947"/>
    <w:rsid w:val="363B0967"/>
    <w:rsid w:val="37387040"/>
    <w:rsid w:val="3A7C2BAF"/>
    <w:rsid w:val="3B625C0A"/>
    <w:rsid w:val="3CEE1963"/>
    <w:rsid w:val="3F204B9E"/>
    <w:rsid w:val="406B3BF6"/>
    <w:rsid w:val="42862F6A"/>
    <w:rsid w:val="436B78D3"/>
    <w:rsid w:val="44623562"/>
    <w:rsid w:val="48524A37"/>
    <w:rsid w:val="4BC44B03"/>
    <w:rsid w:val="4BCE772F"/>
    <w:rsid w:val="4C9C27FE"/>
    <w:rsid w:val="512260B4"/>
    <w:rsid w:val="52BD6ACB"/>
    <w:rsid w:val="55537534"/>
    <w:rsid w:val="55EE10FA"/>
    <w:rsid w:val="56024BA5"/>
    <w:rsid w:val="561A74F1"/>
    <w:rsid w:val="58B02A3D"/>
    <w:rsid w:val="597244E8"/>
    <w:rsid w:val="5CEE19DF"/>
    <w:rsid w:val="5EB71C30"/>
    <w:rsid w:val="5F427DC1"/>
    <w:rsid w:val="66AF0CE5"/>
    <w:rsid w:val="691C34AB"/>
    <w:rsid w:val="6AC537CF"/>
    <w:rsid w:val="6E5B14A6"/>
    <w:rsid w:val="703A4AB0"/>
    <w:rsid w:val="711B255E"/>
    <w:rsid w:val="7B0A57DF"/>
    <w:rsid w:val="7BB51E06"/>
    <w:rsid w:val="7C387F7C"/>
    <w:rsid w:val="7EB77A2B"/>
    <w:rsid w:val="7F3C0271"/>
    <w:rsid w:val="7FE834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3946</Words>
  <Characters>4392</Characters>
  <Lines>4</Lines>
  <Paragraphs>1</Paragraphs>
  <TotalTime>0</TotalTime>
  <ScaleCrop>false</ScaleCrop>
  <LinksUpToDate>false</LinksUpToDate>
  <CharactersWithSpaces>4428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13323011735</cp:lastModifiedBy>
  <cp:lastPrinted>2026-03-19T00:53:00Z</cp:lastPrinted>
  <dcterms:modified xsi:type="dcterms:W3CDTF">2026-06-05T08:57:04Z</dcterms:modified>
  <dc:title>附件3：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96934721B1514D3FBAA28020338CE855_12</vt:lpwstr>
  </property>
  <property fmtid="{D5CDD505-2E9C-101B-9397-08002B2CF9AE}" pid="4" name="KSOTemplateDocerSaveRecord">
    <vt:lpwstr>eyJoZGlkIjoiY2Q1YmEwODljMjhlMDViZDY2ZTI0MGM5YzhhNmYyYzUiLCJ1c2VySWQiOiIxNTUwMjQwMDk2In0=</vt:lpwstr>
  </property>
</Properties>
</file>