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68D6A">
      <w:pPr>
        <w:spacing w:line="360" w:lineRule="auto"/>
        <w:jc w:val="center"/>
        <w:rPr>
          <w:rFonts w:ascii="宋体" w:hAnsi="宋体" w:cs="宋体"/>
          <w:b/>
          <w:bCs/>
          <w:sz w:val="44"/>
          <w:szCs w:val="44"/>
        </w:rPr>
      </w:pPr>
      <w:r>
        <w:rPr>
          <w:rFonts w:hint="eastAsia" w:ascii="宋体" w:hAnsi="宋体" w:cs="宋体"/>
          <w:b/>
          <w:bCs/>
          <w:sz w:val="44"/>
          <w:szCs w:val="44"/>
        </w:rPr>
        <w:t>赵县农村公路工程款</w:t>
      </w:r>
    </w:p>
    <w:p w14:paraId="74D50732">
      <w:pPr>
        <w:spacing w:line="360" w:lineRule="auto"/>
        <w:jc w:val="center"/>
        <w:rPr>
          <w:rFonts w:ascii="宋体" w:hAnsi="宋体" w:cs="宋体"/>
          <w:b/>
          <w:bCs/>
          <w:sz w:val="44"/>
          <w:szCs w:val="44"/>
        </w:rPr>
      </w:pPr>
      <w:r>
        <w:rPr>
          <w:rFonts w:hint="eastAsia" w:ascii="宋体" w:hAnsi="宋体" w:cs="宋体"/>
          <w:b/>
          <w:bCs/>
          <w:sz w:val="44"/>
          <w:szCs w:val="44"/>
        </w:rPr>
        <w:t>项目自评报告</w:t>
      </w:r>
    </w:p>
    <w:p w14:paraId="33E7737D">
      <w:pPr>
        <w:spacing w:line="360" w:lineRule="auto"/>
        <w:jc w:val="center"/>
        <w:rPr>
          <w:rFonts w:ascii="华文楷体" w:eastAsia="华文楷体"/>
          <w:sz w:val="32"/>
          <w:szCs w:val="32"/>
        </w:rPr>
      </w:pPr>
    </w:p>
    <w:p w14:paraId="720F2991">
      <w:pPr>
        <w:adjustRightInd w:val="0"/>
        <w:snapToGrid w:val="0"/>
        <w:spacing w:line="360" w:lineRule="auto"/>
        <w:ind w:firstLine="640" w:firstLineChars="200"/>
        <w:rPr>
          <w:rFonts w:ascii="仿宋_GB2312" w:eastAsia="仿宋_GB2312"/>
          <w:sz w:val="32"/>
          <w:szCs w:val="32"/>
        </w:rPr>
      </w:pPr>
      <w:r>
        <w:rPr>
          <w:rFonts w:hint="eastAsia" w:ascii="仿宋" w:hAnsi="仿宋" w:eastAsia="仿宋"/>
          <w:sz w:val="32"/>
          <w:szCs w:val="32"/>
        </w:rPr>
        <w:t>根据《</w:t>
      </w:r>
      <w:r>
        <w:rPr>
          <w:rFonts w:hint="eastAsia" w:ascii="仿宋" w:hAnsi="仿宋" w:eastAsia="仿宋" w:cs="宋体"/>
          <w:sz w:val="32"/>
          <w:szCs w:val="32"/>
        </w:rPr>
        <w:t>赵县县级部门项目绩效自评管理办法》（赵财预[2020]4号）</w:t>
      </w:r>
      <w:r>
        <w:rPr>
          <w:rFonts w:hint="eastAsia" w:ascii="仿宋" w:hAnsi="仿宋" w:eastAsia="仿宋"/>
          <w:sz w:val="32"/>
          <w:szCs w:val="32"/>
        </w:rPr>
        <w:t>，</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w:t>
      </w:r>
      <w:r>
        <w:rPr>
          <w:rFonts w:hint="eastAsia" w:ascii="仿宋_GB2312" w:eastAsia="仿宋_GB2312"/>
          <w:sz w:val="32"/>
          <w:szCs w:val="32"/>
        </w:rPr>
        <w:t>对赵县农村公路工程款项目实施了</w:t>
      </w:r>
      <w:r>
        <w:rPr>
          <w:rFonts w:hint="eastAsia" w:ascii="仿宋" w:hAnsi="仿宋" w:eastAsia="仿宋"/>
          <w:sz w:val="32"/>
          <w:szCs w:val="32"/>
        </w:rPr>
        <w:t>绩效自评价</w:t>
      </w:r>
      <w:r>
        <w:rPr>
          <w:rFonts w:hint="eastAsia" w:ascii="仿宋_GB2312" w:eastAsia="仿宋_GB2312"/>
          <w:sz w:val="32"/>
          <w:szCs w:val="32"/>
        </w:rPr>
        <w:t>，形成本评价报告。</w:t>
      </w:r>
    </w:p>
    <w:p w14:paraId="6E50517B">
      <w:pPr>
        <w:adjustRightInd w:val="0"/>
        <w:snapToGrid w:val="0"/>
        <w:spacing w:line="360" w:lineRule="auto"/>
        <w:rPr>
          <w:rFonts w:ascii="黑体" w:eastAsia="黑体"/>
          <w:b/>
          <w:bCs/>
          <w:sz w:val="32"/>
          <w:szCs w:val="36"/>
        </w:rPr>
      </w:pPr>
      <w:r>
        <w:rPr>
          <w:rFonts w:hint="eastAsia" w:ascii="黑体" w:eastAsia="黑体"/>
          <w:sz w:val="32"/>
          <w:szCs w:val="32"/>
        </w:rPr>
        <w:t xml:space="preserve">    一、项目</w:t>
      </w:r>
      <w:r>
        <w:rPr>
          <w:rFonts w:hint="eastAsia" w:ascii="黑体" w:eastAsia="黑体"/>
          <w:sz w:val="32"/>
          <w:szCs w:val="36"/>
        </w:rPr>
        <w:t>基本情况</w:t>
      </w:r>
    </w:p>
    <w:p w14:paraId="33898DC8">
      <w:pPr>
        <w:adjustRightInd w:val="0"/>
        <w:snapToGrid w:val="0"/>
        <w:spacing w:line="360" w:lineRule="auto"/>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14:paraId="4DF0E1B3">
      <w:pPr>
        <w:snapToGrid w:val="0"/>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根据</w:t>
      </w:r>
      <w:r>
        <w:rPr>
          <w:rFonts w:hint="eastAsia" w:ascii="仿宋_GB2312" w:eastAsia="仿宋_GB2312"/>
          <w:sz w:val="32"/>
          <w:szCs w:val="32"/>
        </w:rPr>
        <w:t>农村公路工程款</w:t>
      </w:r>
      <w:r>
        <w:rPr>
          <w:rFonts w:hint="eastAsia" w:ascii="仿宋" w:hAnsi="仿宋" w:eastAsia="仿宋" w:cs="仿宋"/>
          <w:sz w:val="32"/>
          <w:szCs w:val="32"/>
        </w:rPr>
        <w:t>项目预算情况,此项农村公路工程款项目资金500万元用于赵县农村</w:t>
      </w:r>
      <w:bookmarkStart w:id="2" w:name="_GoBack"/>
      <w:bookmarkEnd w:id="2"/>
      <w:r>
        <w:rPr>
          <w:rFonts w:hint="eastAsia" w:ascii="仿宋" w:hAnsi="仿宋" w:eastAsia="仿宋" w:cs="仿宋"/>
          <w:sz w:val="32"/>
          <w:szCs w:val="32"/>
        </w:rPr>
        <w:t>公路建设改造工程项目，总里程17公里。</w:t>
      </w:r>
    </w:p>
    <w:p w14:paraId="2165B91C">
      <w:pPr>
        <w:snapToGrid w:val="0"/>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工程质量合格率100%，按期完成，项目成本控制有效。公路改造带动了区域经济发展，方便了群众出行，改善了区域环境。</w:t>
      </w:r>
    </w:p>
    <w:p w14:paraId="66487538">
      <w:pPr>
        <w:snapToGrid w:val="0"/>
        <w:spacing w:line="580" w:lineRule="exact"/>
        <w:ind w:firstLine="640" w:firstLineChars="200"/>
        <w:rPr>
          <w:rFonts w:ascii="仿宋" w:hAnsi="仿宋" w:eastAsia="仿宋" w:cs="仿宋"/>
          <w:sz w:val="32"/>
          <w:szCs w:val="32"/>
        </w:rPr>
      </w:pPr>
    </w:p>
    <w:p w14:paraId="28050980">
      <w:pPr>
        <w:adjustRightInd w:val="0"/>
        <w:snapToGrid w:val="0"/>
        <w:spacing w:line="360" w:lineRule="auto"/>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（二）项目预期绩效目标</w:t>
      </w:r>
    </w:p>
    <w:p w14:paraId="2415E9D7">
      <w:pPr>
        <w:spacing w:line="360" w:lineRule="auto"/>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1、绩效目标</w:t>
      </w:r>
    </w:p>
    <w:p w14:paraId="7EF0805C">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目标一：建设农村公路，更好的发展农村公路，使群众出行能够安全便捷。</w:t>
      </w:r>
    </w:p>
    <w:p w14:paraId="711B4905">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目标二：恢复、提升公里原有技术指标，有效提高通行能力和行车舒适性。</w:t>
      </w:r>
    </w:p>
    <w:p w14:paraId="77A0EAB5">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目标三：按时完工，保证沿线人民出行需要；达到预期效果；对环境无影响。</w:t>
      </w:r>
    </w:p>
    <w:p w14:paraId="279DED78">
      <w:pPr>
        <w:spacing w:line="360" w:lineRule="auto"/>
        <w:ind w:firstLine="576" w:firstLineChars="180"/>
        <w:rPr>
          <w:rFonts w:ascii="仿宋_GB2312" w:hAnsi="宋体" w:eastAsia="仿宋_GB2312"/>
          <w:color w:val="000000"/>
          <w:sz w:val="32"/>
          <w:szCs w:val="32"/>
        </w:rPr>
      </w:pPr>
      <w:r>
        <w:rPr>
          <w:rFonts w:hint="eastAsia" w:ascii="仿宋_GB2312" w:hAnsi="宋体" w:eastAsia="仿宋_GB2312"/>
          <w:color w:val="000000"/>
          <w:sz w:val="32"/>
          <w:szCs w:val="32"/>
        </w:rPr>
        <w:t>2、绩效指标</w:t>
      </w:r>
    </w:p>
    <w:p w14:paraId="0623002D">
      <w:pPr>
        <w:snapToGrid w:val="0"/>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绩效指标管理指标设定参照省财政厅要求，结果指标设定情况如下：</w:t>
      </w:r>
    </w:p>
    <w:p w14:paraId="751DBA4C">
      <w:pPr>
        <w:spacing w:line="360" w:lineRule="auto"/>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1）、产出指标</w:t>
      </w:r>
    </w:p>
    <w:p w14:paraId="2EF6081C">
      <w:pPr>
        <w:spacing w:line="360" w:lineRule="auto"/>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完成的项目工程量（10分）、完成项目的质量（10分）、完成项目的时效构成（10分）、完成项目投资（10分）。</w:t>
      </w:r>
    </w:p>
    <w:p w14:paraId="0F0825A3">
      <w:pPr>
        <w:numPr>
          <w:ilvl w:val="0"/>
          <w:numId w:val="1"/>
        </w:numPr>
        <w:spacing w:line="360" w:lineRule="auto"/>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、预算执行率（10分）。</w:t>
      </w:r>
    </w:p>
    <w:p w14:paraId="624F2E01">
      <w:pPr>
        <w:numPr>
          <w:ilvl w:val="0"/>
          <w:numId w:val="1"/>
        </w:numPr>
        <w:spacing w:line="360" w:lineRule="auto"/>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、效益指标</w:t>
      </w:r>
    </w:p>
    <w:p w14:paraId="044EC579">
      <w:pPr>
        <w:spacing w:line="360" w:lineRule="auto"/>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项目实现功能（10分）、通2个（含）以上硬化出口的行政村比例（10分）、农村公路水泥、沥青路面铺装率（10分）、对地区经济的贡献(10分)构成。</w:t>
      </w:r>
    </w:p>
    <w:p w14:paraId="69DD8DFA">
      <w:pPr>
        <w:spacing w:line="360" w:lineRule="auto"/>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4）、公众满意度（10分）。</w:t>
      </w:r>
    </w:p>
    <w:p w14:paraId="448409B9">
      <w:pPr>
        <w:adjustRightInd w:val="0"/>
        <w:snapToGrid w:val="0"/>
        <w:spacing w:line="360" w:lineRule="auto"/>
        <w:ind w:firstLine="640" w:firstLineChars="200"/>
        <w:rPr>
          <w:rFonts w:ascii="黑体" w:hAnsi="黑体" w:eastAsia="黑体"/>
          <w:sz w:val="32"/>
          <w:szCs w:val="32"/>
        </w:rPr>
      </w:pPr>
      <w:r>
        <w:rPr>
          <w:rFonts w:hint="eastAsia" w:ascii="黑体" w:hAnsi="黑体" w:eastAsia="黑体"/>
          <w:sz w:val="32"/>
          <w:szCs w:val="32"/>
        </w:rPr>
        <w:t>二、自评工作情况</w:t>
      </w:r>
    </w:p>
    <w:p w14:paraId="5FE2151D">
      <w:pPr>
        <w:spacing w:line="360" w:lineRule="auto"/>
        <w:rPr>
          <w:rFonts w:ascii="仿宋_GB2312" w:hAnsi="宋体" w:eastAsia="仿宋_GB2312"/>
          <w:color w:val="000000"/>
          <w:sz w:val="32"/>
          <w:szCs w:val="32"/>
        </w:rPr>
      </w:pPr>
      <w:r>
        <w:rPr>
          <w:rFonts w:hint="eastAsia" w:ascii="仿宋_GB2312" w:eastAsia="仿宋_GB2312"/>
          <w:sz w:val="32"/>
          <w:szCs w:val="32"/>
        </w:rPr>
        <w:t xml:space="preserve">  </w:t>
      </w:r>
      <w:r>
        <w:rPr>
          <w:rFonts w:hint="eastAsia" w:ascii="楷体_GB2312" w:hAnsi="楷体_GB2312" w:eastAsia="楷体_GB2312" w:cs="楷体_GB2312"/>
          <w:b/>
          <w:bCs/>
          <w:sz w:val="32"/>
          <w:szCs w:val="32"/>
        </w:rPr>
        <w:t>（一）自评的组织工作</w:t>
      </w:r>
    </w:p>
    <w:p w14:paraId="0DCA4EA4">
      <w:pPr>
        <w:spacing w:line="360" w:lineRule="auto"/>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在进行绩效评价前，我局对开展绩效评价工作高度重视，成立组建了自评小组，并由相关科室人员准备了各方面材料，为评价做好相关的准备工作。对项目单位自评报告中的数据及相关情况进行审核、确认，进行项目现场勘察并拍照取证，调查走访项目周边群众及单位，严格按照文件要求，实事求是、客观公正地进行本次绩效评价工作。</w:t>
      </w:r>
    </w:p>
    <w:p w14:paraId="2DCA1DC7">
      <w:pPr>
        <w:numPr>
          <w:ilvl w:val="0"/>
          <w:numId w:val="2"/>
        </w:numPr>
        <w:spacing w:line="360" w:lineRule="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自评的方法和过程</w:t>
      </w:r>
    </w:p>
    <w:p w14:paraId="43E64B52">
      <w:pPr>
        <w:spacing w:line="360" w:lineRule="auto"/>
        <w:ind w:firstLine="640" w:firstLineChars="200"/>
        <w:jc w:val="left"/>
        <w:rPr>
          <w:rFonts w:ascii="仿宋_GB2312" w:hAnsi="宋体" w:eastAsia="仿宋_GB2312"/>
          <w:color w:val="000000"/>
          <w:sz w:val="32"/>
          <w:szCs w:val="32"/>
        </w:rPr>
      </w:pPr>
      <w:r>
        <w:rPr>
          <w:rFonts w:hint="eastAsia" w:ascii="仿宋_GB2312" w:hAnsi="宋体" w:eastAsia="仿宋_GB2312"/>
          <w:color w:val="000000"/>
          <w:sz w:val="32"/>
          <w:szCs w:val="32"/>
        </w:rPr>
        <w:t>评价方法：组织评价，</w:t>
      </w:r>
      <w:r>
        <w:rPr>
          <w:rFonts w:hint="eastAsia" w:ascii="仿宋_GB2312" w:hAnsi="宋体" w:eastAsia="仿宋_GB2312"/>
          <w:sz w:val="32"/>
          <w:szCs w:val="32"/>
        </w:rPr>
        <w:t>采取公众分析法等方法对项目进行评价</w:t>
      </w:r>
      <w:r>
        <w:rPr>
          <w:rFonts w:hint="eastAsia" w:ascii="仿宋_GB2312" w:hAnsi="宋体" w:eastAsia="仿宋_GB2312"/>
          <w:color w:val="000000"/>
          <w:sz w:val="32"/>
          <w:szCs w:val="32"/>
        </w:rPr>
        <w:t>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14:paraId="3BC07BF6">
      <w:pPr>
        <w:spacing w:line="360" w:lineRule="auto"/>
        <w:ind w:firstLine="640" w:firstLineChars="200"/>
        <w:jc w:val="left"/>
        <w:rPr>
          <w:rFonts w:ascii="楷体_GB2312" w:hAnsi="楷体_GB2312" w:eastAsia="楷体_GB2312" w:cs="楷体_GB2312"/>
          <w:b/>
          <w:bCs/>
          <w:sz w:val="32"/>
          <w:szCs w:val="32"/>
        </w:rPr>
      </w:pPr>
      <w:r>
        <w:rPr>
          <w:rFonts w:hint="eastAsia" w:ascii="仿宋_GB2312" w:hAnsi="宋体" w:eastAsia="仿宋_GB2312"/>
          <w:color w:val="000000"/>
          <w:sz w:val="32"/>
          <w:szCs w:val="32"/>
        </w:rPr>
        <w:t>绩效评价实施过程：</w:t>
      </w:r>
      <w:r>
        <w:rPr>
          <w:rFonts w:hint="eastAsia" w:ascii="仿宋_GB2312" w:hAnsi="宋体" w:eastAsia="仿宋_GB2312"/>
          <w:sz w:val="32"/>
          <w:szCs w:val="32"/>
        </w:rPr>
        <w:t>绩效评价小组共同讨论、组织自评报告，严格按照文件要求，实事求是、客观公正地进行本次绩效评价工作。绩效评价小组成员通过加强学习和探讨，克服了时间紧，任务重等诸多困难，基本按照文件要求完成了本次绩效自评工作。</w:t>
      </w:r>
    </w:p>
    <w:p w14:paraId="4B495B56">
      <w:pPr>
        <w:numPr>
          <w:ilvl w:val="0"/>
          <w:numId w:val="2"/>
        </w:numPr>
        <w:spacing w:line="360" w:lineRule="auto"/>
        <w:jc w:val="left"/>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建立绩效评价指标体系</w:t>
      </w:r>
    </w:p>
    <w:p w14:paraId="7BE42F5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农村公路建设绩效目标为推进</w:t>
      </w:r>
      <w:r>
        <w:rPr>
          <w:rFonts w:hint="eastAsia" w:ascii="仿宋_GB2312" w:eastAsia="仿宋_GB2312"/>
          <w:sz w:val="32"/>
          <w:szCs w:val="32"/>
          <w:lang w:eastAsia="zh-CN"/>
        </w:rPr>
        <w:t>“四好农村路”</w:t>
      </w:r>
      <w:r>
        <w:rPr>
          <w:rFonts w:hint="eastAsia" w:ascii="仿宋_GB2312" w:eastAsia="仿宋_GB2312"/>
          <w:sz w:val="32"/>
          <w:szCs w:val="32"/>
        </w:rPr>
        <w:t>建设，按规定使用资金，达到预期效果；该项目的实施对于改善农村的通行状况，促进周边区域的经济发展，起到较大作用。</w:t>
      </w:r>
    </w:p>
    <w:p w14:paraId="094981D4">
      <w:pPr>
        <w:spacing w:line="600" w:lineRule="exact"/>
        <w:ind w:left="160" w:leftChars="76"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、产出指标（40分）</w:t>
      </w:r>
    </w:p>
    <w:tbl>
      <w:tblPr>
        <w:tblStyle w:val="7"/>
        <w:tblpPr w:leftFromText="180" w:rightFromText="180" w:vertAnchor="text" w:horzAnchor="page" w:tblpX="1588" w:tblpY="183"/>
        <w:tblOverlap w:val="never"/>
        <w:tblW w:w="9720" w:type="dxa"/>
        <w:tblInd w:w="0" w:type="dxa"/>
        <w:tblLayout w:type="fixed"/>
        <w:tblCellMar>
          <w:top w:w="0" w:type="dxa"/>
          <w:left w:w="108" w:type="dxa"/>
          <w:bottom w:w="0" w:type="dxa"/>
          <w:right w:w="108" w:type="dxa"/>
        </w:tblCellMar>
      </w:tblPr>
      <w:tblGrid>
        <w:gridCol w:w="1980"/>
        <w:gridCol w:w="1080"/>
        <w:gridCol w:w="6660"/>
      </w:tblGrid>
      <w:tr w14:paraId="769229F6">
        <w:tblPrEx>
          <w:tblCellMar>
            <w:top w:w="0" w:type="dxa"/>
            <w:left w:w="108" w:type="dxa"/>
            <w:bottom w:w="0" w:type="dxa"/>
            <w:right w:w="108" w:type="dxa"/>
          </w:tblCellMar>
        </w:tblPrEx>
        <w:trPr>
          <w:trHeight w:val="464" w:hRule="atLeast"/>
          <w:tblHeader/>
        </w:trPr>
        <w:tc>
          <w:tcPr>
            <w:tcW w:w="1980" w:type="dxa"/>
            <w:vMerge w:val="restart"/>
            <w:tcBorders>
              <w:top w:val="single" w:color="auto" w:sz="4" w:space="0"/>
              <w:left w:val="single" w:color="auto" w:sz="4" w:space="0"/>
              <w:right w:val="single" w:color="auto" w:sz="4" w:space="0"/>
            </w:tcBorders>
            <w:vAlign w:val="center"/>
          </w:tcPr>
          <w:p w14:paraId="1B3BBD96">
            <w:pPr>
              <w:widowControl/>
              <w:jc w:val="center"/>
              <w:rPr>
                <w:rFonts w:ascii="宋体" w:cs="宋体"/>
                <w:b/>
                <w:bCs/>
                <w:kern w:val="0"/>
                <w:szCs w:val="21"/>
              </w:rPr>
            </w:pPr>
            <w:r>
              <w:rPr>
                <w:rFonts w:hint="eastAsia" w:ascii="宋体" w:hAnsi="宋体" w:cs="宋体"/>
                <w:b/>
                <w:bCs/>
                <w:kern w:val="0"/>
                <w:szCs w:val="21"/>
              </w:rPr>
              <w:t>绩效评价指标</w:t>
            </w:r>
          </w:p>
        </w:tc>
        <w:tc>
          <w:tcPr>
            <w:tcW w:w="1080" w:type="dxa"/>
            <w:vMerge w:val="restart"/>
            <w:tcBorders>
              <w:top w:val="single" w:color="auto" w:sz="4" w:space="0"/>
              <w:left w:val="nil"/>
              <w:right w:val="nil"/>
            </w:tcBorders>
            <w:vAlign w:val="center"/>
          </w:tcPr>
          <w:p w14:paraId="2EBE4323">
            <w:pPr>
              <w:widowControl/>
              <w:jc w:val="center"/>
              <w:rPr>
                <w:rFonts w:ascii="宋体" w:cs="宋体"/>
                <w:b/>
                <w:kern w:val="0"/>
                <w:szCs w:val="21"/>
              </w:rPr>
            </w:pPr>
            <w:r>
              <w:rPr>
                <w:rFonts w:hint="eastAsia" w:ascii="宋体" w:hAnsi="宋体" w:cs="宋体"/>
                <w:b/>
                <w:kern w:val="0"/>
                <w:szCs w:val="21"/>
              </w:rPr>
              <w:t>分值</w:t>
            </w:r>
          </w:p>
        </w:tc>
        <w:tc>
          <w:tcPr>
            <w:tcW w:w="6660" w:type="dxa"/>
            <w:tcBorders>
              <w:top w:val="single" w:color="auto" w:sz="4" w:space="0"/>
              <w:left w:val="single" w:color="auto" w:sz="4" w:space="0"/>
              <w:bottom w:val="single" w:color="auto" w:sz="4" w:space="0"/>
              <w:right w:val="single" w:color="auto" w:sz="4" w:space="0"/>
            </w:tcBorders>
            <w:vAlign w:val="center"/>
          </w:tcPr>
          <w:p w14:paraId="1E2047B6">
            <w:pPr>
              <w:jc w:val="center"/>
              <w:rPr>
                <w:rFonts w:ascii="宋体" w:cs="宋体"/>
                <w:b/>
                <w:kern w:val="0"/>
                <w:sz w:val="24"/>
              </w:rPr>
            </w:pPr>
            <w:r>
              <w:rPr>
                <w:rFonts w:hint="eastAsia" w:ascii="宋体" w:hAnsi="宋体"/>
                <w:b/>
                <w:szCs w:val="21"/>
              </w:rPr>
              <w:t>评分依据及标准</w:t>
            </w:r>
          </w:p>
        </w:tc>
      </w:tr>
      <w:tr w14:paraId="5E94FA64">
        <w:tblPrEx>
          <w:tblCellMar>
            <w:top w:w="0" w:type="dxa"/>
            <w:left w:w="108" w:type="dxa"/>
            <w:bottom w:w="0" w:type="dxa"/>
            <w:right w:w="108" w:type="dxa"/>
          </w:tblCellMar>
        </w:tblPrEx>
        <w:trPr>
          <w:trHeight w:val="614" w:hRule="atLeast"/>
          <w:tblHeader/>
        </w:trPr>
        <w:tc>
          <w:tcPr>
            <w:tcW w:w="1980" w:type="dxa"/>
            <w:vMerge w:val="continue"/>
            <w:tcBorders>
              <w:left w:val="single" w:color="auto" w:sz="4" w:space="0"/>
              <w:bottom w:val="single" w:color="auto" w:sz="4" w:space="0"/>
              <w:right w:val="single" w:color="auto" w:sz="4" w:space="0"/>
            </w:tcBorders>
            <w:vAlign w:val="center"/>
          </w:tcPr>
          <w:p w14:paraId="7E9D6F2D">
            <w:pPr>
              <w:widowControl/>
              <w:jc w:val="center"/>
              <w:rPr>
                <w:rFonts w:ascii="宋体" w:cs="宋体"/>
                <w:b/>
                <w:bCs/>
                <w:kern w:val="0"/>
                <w:sz w:val="24"/>
              </w:rPr>
            </w:pPr>
          </w:p>
        </w:tc>
        <w:tc>
          <w:tcPr>
            <w:tcW w:w="1080" w:type="dxa"/>
            <w:vMerge w:val="continue"/>
            <w:tcBorders>
              <w:left w:val="nil"/>
              <w:bottom w:val="single" w:color="auto" w:sz="4" w:space="0"/>
              <w:right w:val="nil"/>
            </w:tcBorders>
            <w:vAlign w:val="center"/>
          </w:tcPr>
          <w:p w14:paraId="5D502293">
            <w:pPr>
              <w:widowControl/>
              <w:jc w:val="center"/>
              <w:rPr>
                <w:rFonts w:ascii="宋体" w:cs="宋体"/>
                <w:b/>
                <w:kern w:val="0"/>
                <w:sz w:val="24"/>
              </w:rPr>
            </w:pPr>
          </w:p>
        </w:tc>
        <w:tc>
          <w:tcPr>
            <w:tcW w:w="6660" w:type="dxa"/>
            <w:tcBorders>
              <w:top w:val="single" w:color="auto" w:sz="4" w:space="0"/>
              <w:left w:val="single" w:color="auto" w:sz="4" w:space="0"/>
              <w:bottom w:val="single" w:color="auto" w:sz="4" w:space="0"/>
              <w:right w:val="single" w:color="auto" w:sz="4" w:space="0"/>
            </w:tcBorders>
            <w:vAlign w:val="center"/>
          </w:tcPr>
          <w:p w14:paraId="5F538A89">
            <w:pPr>
              <w:jc w:val="center"/>
              <w:rPr>
                <w:rFonts w:ascii="宋体"/>
                <w:b/>
                <w:szCs w:val="21"/>
              </w:rPr>
            </w:pPr>
            <w:r>
              <w:rPr>
                <w:rFonts w:ascii="宋体" w:hAnsi="宋体"/>
                <w:szCs w:val="21"/>
              </w:rPr>
              <w:t>A</w:t>
            </w:r>
            <w:r>
              <w:rPr>
                <w:rFonts w:hint="eastAsia" w:ascii="宋体" w:hAnsi="宋体"/>
                <w:szCs w:val="21"/>
              </w:rPr>
              <w:t>、</w:t>
            </w:r>
            <w:r>
              <w:rPr>
                <w:rFonts w:ascii="宋体" w:hAnsi="宋体"/>
                <w:szCs w:val="21"/>
              </w:rPr>
              <w:t>B</w:t>
            </w:r>
            <w:r>
              <w:rPr>
                <w:rFonts w:hint="eastAsia" w:ascii="宋体" w:hAnsi="宋体"/>
                <w:szCs w:val="21"/>
              </w:rPr>
              <w:t>、</w:t>
            </w:r>
            <w:r>
              <w:rPr>
                <w:rFonts w:ascii="宋体" w:hAnsi="宋体"/>
                <w:szCs w:val="21"/>
              </w:rPr>
              <w:t>C</w:t>
            </w:r>
            <w:r>
              <w:rPr>
                <w:rFonts w:hint="eastAsia" w:ascii="宋体" w:hAnsi="宋体"/>
                <w:szCs w:val="21"/>
              </w:rPr>
              <w:t>、</w:t>
            </w:r>
            <w:r>
              <w:rPr>
                <w:rFonts w:ascii="宋体" w:hAnsi="宋体"/>
                <w:szCs w:val="21"/>
              </w:rPr>
              <w:t>D</w:t>
            </w:r>
            <w:r>
              <w:rPr>
                <w:rFonts w:hint="eastAsia" w:ascii="宋体" w:hAnsi="宋体"/>
                <w:szCs w:val="21"/>
              </w:rPr>
              <w:t>、</w:t>
            </w:r>
            <w:r>
              <w:rPr>
                <w:rFonts w:ascii="宋体" w:hAnsi="宋体"/>
                <w:szCs w:val="21"/>
              </w:rPr>
              <w:t>E</w:t>
            </w:r>
            <w:r>
              <w:rPr>
                <w:rFonts w:hint="eastAsia" w:ascii="宋体" w:hAnsi="宋体"/>
                <w:szCs w:val="21"/>
              </w:rPr>
              <w:t>级得分依次为该指标分值的</w:t>
            </w:r>
            <w:r>
              <w:rPr>
                <w:rFonts w:ascii="宋体" w:hAnsi="宋体"/>
                <w:szCs w:val="21"/>
              </w:rPr>
              <w:t>100%</w:t>
            </w:r>
            <w:r>
              <w:rPr>
                <w:rFonts w:hint="eastAsia" w:ascii="宋体" w:hAnsi="宋体"/>
                <w:szCs w:val="21"/>
              </w:rPr>
              <w:t>、</w:t>
            </w:r>
            <w:r>
              <w:rPr>
                <w:rFonts w:ascii="宋体" w:hAnsi="宋体"/>
                <w:szCs w:val="21"/>
              </w:rPr>
              <w:t>80%</w:t>
            </w:r>
            <w:r>
              <w:rPr>
                <w:rFonts w:hint="eastAsia" w:ascii="宋体" w:hAnsi="宋体"/>
                <w:szCs w:val="21"/>
              </w:rPr>
              <w:t>、</w:t>
            </w:r>
            <w:r>
              <w:rPr>
                <w:rFonts w:ascii="宋体" w:hAnsi="宋体"/>
                <w:szCs w:val="21"/>
              </w:rPr>
              <w:t>60%</w:t>
            </w:r>
            <w:r>
              <w:rPr>
                <w:rFonts w:hint="eastAsia" w:ascii="宋体" w:hAnsi="宋体"/>
                <w:szCs w:val="21"/>
              </w:rPr>
              <w:t>、</w:t>
            </w:r>
            <w:r>
              <w:rPr>
                <w:rFonts w:ascii="宋体" w:hAnsi="宋体"/>
                <w:szCs w:val="21"/>
              </w:rPr>
              <w:t>20%</w:t>
            </w:r>
            <w:r>
              <w:rPr>
                <w:rFonts w:hint="eastAsia" w:ascii="宋体" w:hAnsi="宋体"/>
                <w:szCs w:val="21"/>
              </w:rPr>
              <w:t>、</w:t>
            </w:r>
            <w:r>
              <w:rPr>
                <w:rFonts w:ascii="宋体" w:hAnsi="宋体"/>
                <w:szCs w:val="21"/>
              </w:rPr>
              <w:t>0%</w:t>
            </w:r>
          </w:p>
        </w:tc>
      </w:tr>
      <w:tr w14:paraId="71B54905">
        <w:tblPrEx>
          <w:tblCellMar>
            <w:top w:w="0" w:type="dxa"/>
            <w:left w:w="108" w:type="dxa"/>
            <w:bottom w:w="0" w:type="dxa"/>
            <w:right w:w="108" w:type="dxa"/>
          </w:tblCellMar>
        </w:tblPrEx>
        <w:trPr>
          <w:trHeight w:val="2962" w:hRule="exact"/>
        </w:trPr>
        <w:tc>
          <w:tcPr>
            <w:tcW w:w="1980" w:type="dxa"/>
            <w:tcBorders>
              <w:top w:val="single" w:color="auto" w:sz="4" w:space="0"/>
              <w:left w:val="single" w:color="auto" w:sz="4" w:space="0"/>
              <w:bottom w:val="single" w:color="auto" w:sz="4" w:space="0"/>
              <w:right w:val="single" w:color="auto" w:sz="4" w:space="0"/>
            </w:tcBorders>
            <w:vAlign w:val="center"/>
          </w:tcPr>
          <w:p w14:paraId="7E379DA9">
            <w:pPr>
              <w:widowControl/>
              <w:jc w:val="center"/>
              <w:rPr>
                <w:rFonts w:ascii="宋体" w:cs="宋体"/>
                <w:kern w:val="0"/>
                <w:szCs w:val="21"/>
              </w:rPr>
            </w:pPr>
            <w:r>
              <w:rPr>
                <w:rFonts w:hint="eastAsia" w:ascii="宋体" w:hAnsi="宋体" w:cs="宋体"/>
                <w:kern w:val="0"/>
                <w:szCs w:val="21"/>
              </w:rPr>
              <w:t>完成的项目工程量</w:t>
            </w:r>
          </w:p>
        </w:tc>
        <w:tc>
          <w:tcPr>
            <w:tcW w:w="1080" w:type="dxa"/>
            <w:tcBorders>
              <w:top w:val="single" w:color="auto" w:sz="4" w:space="0"/>
              <w:left w:val="nil"/>
              <w:bottom w:val="single" w:color="auto" w:sz="4" w:space="0"/>
              <w:right w:val="single" w:color="auto" w:sz="4" w:space="0"/>
            </w:tcBorders>
            <w:vAlign w:val="center"/>
          </w:tcPr>
          <w:p w14:paraId="768360F6">
            <w:pPr>
              <w:widowControl/>
              <w:jc w:val="center"/>
              <w:rPr>
                <w:rFonts w:ascii="宋体" w:hAnsi="宋体" w:cs="宋体"/>
                <w:bCs/>
                <w:kern w:val="0"/>
                <w:szCs w:val="21"/>
              </w:rPr>
            </w:pPr>
            <w:r>
              <w:rPr>
                <w:rFonts w:ascii="宋体" w:hAnsi="宋体" w:cs="宋体"/>
                <w:bCs/>
                <w:kern w:val="0"/>
                <w:szCs w:val="21"/>
              </w:rPr>
              <w:t>1</w:t>
            </w:r>
            <w:r>
              <w:rPr>
                <w:rFonts w:hint="eastAsia" w:ascii="宋体" w:hAnsi="宋体" w:cs="宋体"/>
                <w:bCs/>
                <w:kern w:val="0"/>
                <w:szCs w:val="21"/>
              </w:rPr>
              <w:t>0</w:t>
            </w:r>
          </w:p>
        </w:tc>
        <w:tc>
          <w:tcPr>
            <w:tcW w:w="6660" w:type="dxa"/>
            <w:tcBorders>
              <w:top w:val="single" w:color="auto" w:sz="4" w:space="0"/>
              <w:left w:val="nil"/>
              <w:bottom w:val="single" w:color="auto" w:sz="4" w:space="0"/>
              <w:right w:val="single" w:color="auto" w:sz="4" w:space="0"/>
            </w:tcBorders>
            <w:vAlign w:val="center"/>
          </w:tcPr>
          <w:p w14:paraId="5823D722">
            <w:pPr>
              <w:widowControl/>
              <w:jc w:val="left"/>
              <w:rPr>
                <w:rFonts w:ascii="宋体" w:cs="宋体"/>
                <w:kern w:val="0"/>
                <w:szCs w:val="21"/>
              </w:rPr>
            </w:pPr>
            <w:r>
              <w:rPr>
                <w:rFonts w:hint="eastAsia" w:ascii="宋体" w:hAnsi="宋体" w:cs="宋体"/>
                <w:kern w:val="0"/>
                <w:szCs w:val="21"/>
              </w:rPr>
              <w:t>该指标评价项目主要指标的完成情况（有批复的按照批复的指标），项目有多个指标的分指标填列，计算公式：项目指标完成率</w:t>
            </w:r>
            <w:r>
              <w:rPr>
                <w:rFonts w:ascii="宋体" w:hAnsi="宋体" w:cs="宋体"/>
                <w:kern w:val="0"/>
                <w:szCs w:val="21"/>
              </w:rPr>
              <w:t>=</w:t>
            </w:r>
            <w:r>
              <w:rPr>
                <w:rFonts w:hint="eastAsia" w:ascii="宋体" w:hAnsi="宋体" w:cs="宋体"/>
                <w:kern w:val="0"/>
                <w:szCs w:val="21"/>
              </w:rPr>
              <w:t>实际结果</w:t>
            </w:r>
            <w:r>
              <w:rPr>
                <w:rFonts w:ascii="宋体" w:hAnsi="宋体" w:cs="宋体"/>
                <w:kern w:val="0"/>
                <w:szCs w:val="21"/>
              </w:rPr>
              <w:t>/</w:t>
            </w:r>
            <w:r>
              <w:rPr>
                <w:rFonts w:hint="eastAsia" w:ascii="宋体" w:hAnsi="宋体" w:cs="宋体"/>
                <w:kern w:val="0"/>
                <w:szCs w:val="21"/>
              </w:rPr>
              <w:t>预期目标</w:t>
            </w:r>
            <w:r>
              <w:rPr>
                <w:rFonts w:ascii="宋体" w:hAnsi="宋体" w:cs="宋体"/>
                <w:kern w:val="0"/>
                <w:szCs w:val="21"/>
              </w:rPr>
              <w:t>*100%</w:t>
            </w:r>
            <w:r>
              <w:rPr>
                <w:rFonts w:hint="eastAsia" w:ascii="宋体" w:hAnsi="宋体" w:cs="宋体"/>
                <w:kern w:val="0"/>
                <w:szCs w:val="21"/>
              </w:rPr>
              <w:t>。（有主指标和附属指标的，主指标分值为</w:t>
            </w:r>
            <w:r>
              <w:rPr>
                <w:rFonts w:ascii="宋体" w:hAnsi="宋体" w:cs="宋体"/>
                <w:kern w:val="0"/>
                <w:szCs w:val="21"/>
              </w:rPr>
              <w:t>15</w:t>
            </w:r>
            <w:r>
              <w:rPr>
                <w:rFonts w:hint="eastAsia" w:ascii="宋体" w:hAnsi="宋体" w:cs="宋体"/>
                <w:kern w:val="0"/>
                <w:szCs w:val="21"/>
              </w:rPr>
              <w:t>分，其他附属指标</w:t>
            </w:r>
            <w:r>
              <w:rPr>
                <w:rFonts w:ascii="宋体" w:hAnsi="宋体" w:cs="宋体"/>
                <w:kern w:val="0"/>
                <w:szCs w:val="21"/>
              </w:rPr>
              <w:t>5</w:t>
            </w:r>
            <w:r>
              <w:rPr>
                <w:rFonts w:hint="eastAsia" w:ascii="宋体" w:hAnsi="宋体" w:cs="宋体"/>
                <w:kern w:val="0"/>
                <w:szCs w:val="21"/>
              </w:rPr>
              <w:t>分）</w:t>
            </w:r>
          </w:p>
          <w:p w14:paraId="3F3D8359">
            <w:pPr>
              <w:widowControl/>
              <w:jc w:val="left"/>
              <w:rPr>
                <w:rFonts w:ascii="宋体" w:hAnsi="宋体" w:cs="宋体"/>
                <w:kern w:val="0"/>
                <w:szCs w:val="21"/>
              </w:rPr>
            </w:pPr>
            <w:r>
              <w:rPr>
                <w:rFonts w:ascii="宋体" w:hAnsi="宋体" w:cs="宋体"/>
                <w:kern w:val="0"/>
                <w:szCs w:val="21"/>
              </w:rPr>
              <w:t>A</w:t>
            </w:r>
            <w:r>
              <w:rPr>
                <w:rFonts w:hint="eastAsia" w:ascii="宋体" w:hAnsi="宋体" w:cs="宋体"/>
                <w:kern w:val="0"/>
                <w:szCs w:val="21"/>
              </w:rPr>
              <w:t>、各项目指标完成率均为</w:t>
            </w:r>
            <w:r>
              <w:rPr>
                <w:rFonts w:ascii="宋体" w:hAnsi="宋体" w:cs="宋体"/>
                <w:kern w:val="0"/>
                <w:szCs w:val="21"/>
              </w:rPr>
              <w:t>100%</w:t>
            </w:r>
          </w:p>
          <w:p w14:paraId="7ED54933">
            <w:pPr>
              <w:widowControl/>
              <w:jc w:val="left"/>
              <w:rPr>
                <w:rFonts w:ascii="宋体" w:hAnsi="宋体" w:cs="宋体"/>
                <w:kern w:val="0"/>
                <w:szCs w:val="21"/>
              </w:rPr>
            </w:pPr>
            <w:r>
              <w:rPr>
                <w:rFonts w:ascii="宋体" w:hAnsi="宋体" w:cs="宋体"/>
                <w:kern w:val="0"/>
                <w:szCs w:val="21"/>
              </w:rPr>
              <w:t>B</w:t>
            </w:r>
            <w:r>
              <w:rPr>
                <w:rFonts w:hint="eastAsia" w:ascii="宋体" w:hAnsi="宋体" w:cs="宋体"/>
                <w:kern w:val="0"/>
                <w:szCs w:val="21"/>
              </w:rPr>
              <w:t>、</w:t>
            </w:r>
            <w:r>
              <w:rPr>
                <w:rFonts w:ascii="宋体" w:hAnsi="宋体" w:cs="宋体"/>
                <w:kern w:val="0"/>
                <w:szCs w:val="21"/>
              </w:rPr>
              <w:t>80%</w:t>
            </w:r>
            <w:r>
              <w:rPr>
                <w:rFonts w:hint="eastAsia" w:ascii="宋体" w:hAnsi="宋体" w:cs="宋体"/>
                <w:kern w:val="0"/>
                <w:szCs w:val="21"/>
              </w:rPr>
              <w:t>≤主指标项目指标完成率</w:t>
            </w:r>
            <w:r>
              <w:rPr>
                <w:rFonts w:ascii="宋体" w:hAnsi="宋体" w:cs="宋体"/>
                <w:kern w:val="0"/>
                <w:szCs w:val="21"/>
              </w:rPr>
              <w:t>&lt;100%</w:t>
            </w:r>
            <w:r>
              <w:rPr>
                <w:rFonts w:hint="eastAsia" w:ascii="宋体" w:hAnsi="宋体" w:cs="宋体"/>
                <w:kern w:val="0"/>
                <w:szCs w:val="21"/>
              </w:rPr>
              <w:t>，附属指标项目完成率不低于</w:t>
            </w:r>
            <w:r>
              <w:rPr>
                <w:rFonts w:ascii="宋体" w:hAnsi="宋体" w:cs="宋体"/>
                <w:kern w:val="0"/>
                <w:szCs w:val="21"/>
              </w:rPr>
              <w:t>80%</w:t>
            </w:r>
          </w:p>
          <w:p w14:paraId="0468ABD1">
            <w:pPr>
              <w:widowControl/>
              <w:jc w:val="left"/>
              <w:rPr>
                <w:rFonts w:ascii="宋体" w:hAnsi="宋体" w:cs="宋体"/>
                <w:kern w:val="0"/>
                <w:szCs w:val="21"/>
              </w:rPr>
            </w:pPr>
            <w:r>
              <w:rPr>
                <w:rFonts w:ascii="宋体" w:hAnsi="宋体" w:cs="宋体"/>
                <w:kern w:val="0"/>
                <w:szCs w:val="21"/>
              </w:rPr>
              <w:t>C</w:t>
            </w:r>
            <w:r>
              <w:rPr>
                <w:rFonts w:hint="eastAsia" w:ascii="宋体" w:hAnsi="宋体" w:cs="宋体"/>
                <w:kern w:val="0"/>
                <w:szCs w:val="21"/>
              </w:rPr>
              <w:t>、</w:t>
            </w:r>
            <w:r>
              <w:rPr>
                <w:rFonts w:ascii="宋体" w:hAnsi="宋体" w:cs="宋体"/>
                <w:kern w:val="0"/>
                <w:szCs w:val="21"/>
              </w:rPr>
              <w:t>60%</w:t>
            </w:r>
            <w:r>
              <w:rPr>
                <w:rFonts w:hint="eastAsia" w:ascii="宋体" w:hAnsi="宋体" w:cs="宋体"/>
                <w:kern w:val="0"/>
                <w:szCs w:val="21"/>
              </w:rPr>
              <w:t>≤主指标项目指标完成率</w:t>
            </w:r>
            <w:r>
              <w:rPr>
                <w:rFonts w:ascii="宋体" w:hAnsi="宋体" w:cs="宋体"/>
                <w:kern w:val="0"/>
                <w:szCs w:val="21"/>
              </w:rPr>
              <w:t>&lt;80%</w:t>
            </w:r>
            <w:r>
              <w:rPr>
                <w:rFonts w:hint="eastAsia" w:ascii="宋体" w:hAnsi="宋体" w:cs="宋体"/>
                <w:kern w:val="0"/>
                <w:szCs w:val="21"/>
              </w:rPr>
              <w:t>，附属指标项目完成率不低于</w:t>
            </w:r>
            <w:r>
              <w:rPr>
                <w:rFonts w:ascii="宋体" w:hAnsi="宋体" w:cs="宋体"/>
                <w:kern w:val="0"/>
                <w:szCs w:val="21"/>
              </w:rPr>
              <w:t>60%</w:t>
            </w:r>
          </w:p>
          <w:p w14:paraId="56488A8A">
            <w:pPr>
              <w:widowControl/>
              <w:jc w:val="left"/>
              <w:rPr>
                <w:rFonts w:ascii="宋体" w:hAnsi="宋体" w:cs="宋体"/>
                <w:kern w:val="0"/>
                <w:szCs w:val="21"/>
              </w:rPr>
            </w:pPr>
            <w:r>
              <w:rPr>
                <w:rFonts w:ascii="宋体" w:hAnsi="宋体" w:cs="宋体"/>
                <w:kern w:val="0"/>
                <w:szCs w:val="21"/>
              </w:rPr>
              <w:t>D</w:t>
            </w:r>
            <w:r>
              <w:rPr>
                <w:rFonts w:hint="eastAsia" w:ascii="宋体" w:hAnsi="宋体" w:cs="宋体"/>
                <w:kern w:val="0"/>
                <w:szCs w:val="21"/>
              </w:rPr>
              <w:t>、</w:t>
            </w:r>
            <w:r>
              <w:rPr>
                <w:rFonts w:ascii="宋体" w:hAnsi="宋体" w:cs="宋体"/>
                <w:kern w:val="0"/>
                <w:szCs w:val="21"/>
              </w:rPr>
              <w:t>20%</w:t>
            </w:r>
            <w:r>
              <w:rPr>
                <w:rFonts w:hint="eastAsia" w:ascii="宋体" w:hAnsi="宋体" w:cs="宋体"/>
                <w:kern w:val="0"/>
                <w:szCs w:val="21"/>
              </w:rPr>
              <w:t>≤主指标项目指标完成率</w:t>
            </w:r>
            <w:r>
              <w:rPr>
                <w:rFonts w:ascii="宋体" w:hAnsi="宋体" w:cs="宋体"/>
                <w:kern w:val="0"/>
                <w:szCs w:val="21"/>
              </w:rPr>
              <w:t>&lt;60%</w:t>
            </w:r>
          </w:p>
          <w:p w14:paraId="04955192">
            <w:pPr>
              <w:widowControl/>
              <w:jc w:val="left"/>
              <w:rPr>
                <w:rFonts w:ascii="宋体" w:hAnsi="宋体" w:cs="宋体"/>
                <w:kern w:val="0"/>
                <w:szCs w:val="21"/>
              </w:rPr>
            </w:pPr>
            <w:r>
              <w:rPr>
                <w:rFonts w:ascii="宋体" w:hAnsi="宋体" w:cs="宋体"/>
                <w:kern w:val="0"/>
                <w:szCs w:val="21"/>
              </w:rPr>
              <w:t>E</w:t>
            </w:r>
            <w:r>
              <w:rPr>
                <w:rFonts w:hint="eastAsia" w:ascii="宋体" w:hAnsi="宋体" w:cs="宋体"/>
                <w:kern w:val="0"/>
                <w:szCs w:val="21"/>
              </w:rPr>
              <w:t>、主指标项目指标完成率</w:t>
            </w:r>
            <w:r>
              <w:rPr>
                <w:rFonts w:ascii="宋体" w:hAnsi="宋体" w:cs="宋体"/>
                <w:kern w:val="0"/>
                <w:szCs w:val="21"/>
              </w:rPr>
              <w:t>&lt;20%</w:t>
            </w:r>
          </w:p>
        </w:tc>
      </w:tr>
      <w:tr w14:paraId="192EFD1B">
        <w:tblPrEx>
          <w:tblCellMar>
            <w:top w:w="0" w:type="dxa"/>
            <w:left w:w="108" w:type="dxa"/>
            <w:bottom w:w="0" w:type="dxa"/>
            <w:right w:w="108" w:type="dxa"/>
          </w:tblCellMar>
        </w:tblPrEx>
        <w:trPr>
          <w:trHeight w:val="2297" w:hRule="exact"/>
        </w:trPr>
        <w:tc>
          <w:tcPr>
            <w:tcW w:w="1980" w:type="dxa"/>
            <w:tcBorders>
              <w:top w:val="single" w:color="auto" w:sz="4" w:space="0"/>
              <w:left w:val="single" w:color="auto" w:sz="4" w:space="0"/>
              <w:bottom w:val="single" w:color="auto" w:sz="4" w:space="0"/>
              <w:right w:val="single" w:color="auto" w:sz="4" w:space="0"/>
            </w:tcBorders>
            <w:vAlign w:val="center"/>
          </w:tcPr>
          <w:p w14:paraId="50EBCC5F">
            <w:pPr>
              <w:widowControl/>
              <w:jc w:val="center"/>
              <w:rPr>
                <w:rFonts w:ascii="宋体" w:cs="宋体"/>
                <w:kern w:val="0"/>
                <w:szCs w:val="21"/>
              </w:rPr>
            </w:pPr>
            <w:r>
              <w:rPr>
                <w:rFonts w:hint="eastAsia" w:ascii="宋体" w:hAnsi="宋体" w:cs="宋体"/>
                <w:szCs w:val="21"/>
              </w:rPr>
              <w:t>完成项目的质量</w:t>
            </w:r>
          </w:p>
        </w:tc>
        <w:tc>
          <w:tcPr>
            <w:tcW w:w="1080" w:type="dxa"/>
            <w:tcBorders>
              <w:top w:val="single" w:color="auto" w:sz="4" w:space="0"/>
              <w:left w:val="nil"/>
              <w:bottom w:val="nil"/>
              <w:right w:val="single" w:color="auto" w:sz="4" w:space="0"/>
            </w:tcBorders>
            <w:vAlign w:val="center"/>
          </w:tcPr>
          <w:p w14:paraId="38CC4440">
            <w:pPr>
              <w:widowControl/>
              <w:jc w:val="center"/>
              <w:rPr>
                <w:rFonts w:ascii="宋体" w:cs="宋体"/>
                <w:bCs/>
                <w:kern w:val="0"/>
                <w:szCs w:val="21"/>
              </w:rPr>
            </w:pPr>
            <w:r>
              <w:rPr>
                <w:rFonts w:ascii="宋体" w:hAnsi="宋体" w:cs="宋体"/>
                <w:bCs/>
                <w:kern w:val="0"/>
                <w:szCs w:val="21"/>
              </w:rPr>
              <w:t>10</w:t>
            </w:r>
            <w:r>
              <w:rPr>
                <w:rFonts w:hint="eastAsia" w:ascii="宋体" w:hAnsi="宋体" w:cs="宋体"/>
                <w:bCs/>
                <w:kern w:val="0"/>
                <w:szCs w:val="21"/>
              </w:rPr>
              <w:t>　</w:t>
            </w:r>
          </w:p>
        </w:tc>
        <w:tc>
          <w:tcPr>
            <w:tcW w:w="6660" w:type="dxa"/>
            <w:tcBorders>
              <w:top w:val="single" w:color="auto" w:sz="4" w:space="0"/>
              <w:left w:val="nil"/>
              <w:bottom w:val="single" w:color="auto" w:sz="4" w:space="0"/>
              <w:right w:val="single" w:color="auto" w:sz="4" w:space="0"/>
            </w:tcBorders>
            <w:vAlign w:val="center"/>
          </w:tcPr>
          <w:p w14:paraId="4D8DB45E">
            <w:pPr>
              <w:widowControl/>
              <w:jc w:val="left"/>
              <w:rPr>
                <w:rFonts w:ascii="宋体" w:cs="宋体"/>
                <w:kern w:val="0"/>
                <w:szCs w:val="21"/>
              </w:rPr>
            </w:pPr>
            <w:r>
              <w:rPr>
                <w:rFonts w:hint="eastAsia" w:ascii="宋体" w:hAnsi="宋体" w:cs="宋体"/>
                <w:kern w:val="0"/>
                <w:szCs w:val="21"/>
              </w:rPr>
              <w:t>该指标针对需要质量验收的项目进行评价，对竣工验收后的项目以竣工验收得分为依据，对没有竣工验收的项目以质检部门出具的交工检测报告得分为依据，工程已完工但未组织交竣工的项目，依据监理评分按</w:t>
            </w:r>
            <w:r>
              <w:rPr>
                <w:rFonts w:ascii="宋体" w:hAnsi="宋体" w:cs="宋体"/>
                <w:kern w:val="0"/>
                <w:szCs w:val="21"/>
              </w:rPr>
              <w:t>B</w:t>
            </w:r>
            <w:r>
              <w:rPr>
                <w:rFonts w:hint="eastAsia" w:ascii="宋体" w:hAnsi="宋体" w:cs="宋体"/>
                <w:kern w:val="0"/>
                <w:szCs w:val="21"/>
              </w:rPr>
              <w:t>级计入分值。其他项目将该项分值调整到“完成的项目工程量”指标</w:t>
            </w:r>
          </w:p>
          <w:p w14:paraId="585661B2">
            <w:pPr>
              <w:widowControl/>
              <w:jc w:val="left"/>
              <w:rPr>
                <w:rFonts w:ascii="宋体" w:cs="宋体"/>
                <w:kern w:val="0"/>
                <w:szCs w:val="21"/>
              </w:rPr>
            </w:pPr>
            <w:r>
              <w:rPr>
                <w:rFonts w:ascii="宋体" w:hAnsi="宋体" w:cs="宋体"/>
                <w:kern w:val="0"/>
                <w:szCs w:val="21"/>
              </w:rPr>
              <w:t>A</w:t>
            </w:r>
            <w:r>
              <w:rPr>
                <w:rFonts w:hint="eastAsia" w:ascii="宋体" w:hAnsi="宋体" w:cs="宋体"/>
                <w:kern w:val="0"/>
                <w:szCs w:val="21"/>
              </w:rPr>
              <w:t>、</w:t>
            </w:r>
            <w:r>
              <w:rPr>
                <w:rFonts w:ascii="宋体" w:hAnsi="宋体" w:cs="宋体"/>
                <w:kern w:val="0"/>
                <w:szCs w:val="21"/>
              </w:rPr>
              <w:t>90</w:t>
            </w:r>
            <w:r>
              <w:rPr>
                <w:rFonts w:hint="eastAsia" w:ascii="宋体" w:hAnsi="宋体" w:cs="宋体"/>
                <w:kern w:val="0"/>
                <w:szCs w:val="21"/>
              </w:rPr>
              <w:t>分以上（含</w:t>
            </w:r>
            <w:r>
              <w:rPr>
                <w:rFonts w:ascii="宋体" w:hAnsi="宋体" w:cs="宋体"/>
                <w:kern w:val="0"/>
                <w:szCs w:val="21"/>
              </w:rPr>
              <w:t>90</w:t>
            </w:r>
            <w:r>
              <w:rPr>
                <w:rFonts w:hint="eastAsia" w:ascii="宋体" w:hAnsi="宋体" w:cs="宋体"/>
                <w:kern w:val="0"/>
                <w:szCs w:val="21"/>
              </w:rPr>
              <w:t>分</w:t>
            </w:r>
          </w:p>
          <w:p w14:paraId="1DD92B62">
            <w:pPr>
              <w:widowControl/>
              <w:jc w:val="left"/>
              <w:rPr>
                <w:rFonts w:ascii="宋体" w:cs="宋体"/>
                <w:kern w:val="0"/>
                <w:szCs w:val="21"/>
              </w:rPr>
            </w:pPr>
            <w:r>
              <w:rPr>
                <w:rFonts w:ascii="宋体" w:hAnsi="宋体" w:cs="宋体"/>
                <w:kern w:val="0"/>
                <w:szCs w:val="21"/>
              </w:rPr>
              <w:t>B</w:t>
            </w:r>
            <w:r>
              <w:rPr>
                <w:rFonts w:hint="eastAsia" w:ascii="宋体" w:hAnsi="宋体" w:cs="宋体"/>
                <w:kern w:val="0"/>
                <w:szCs w:val="21"/>
              </w:rPr>
              <w:t>、</w:t>
            </w:r>
            <w:r>
              <w:rPr>
                <w:rFonts w:ascii="宋体" w:hAnsi="宋体" w:cs="宋体"/>
                <w:kern w:val="0"/>
                <w:szCs w:val="21"/>
              </w:rPr>
              <w:t>75</w:t>
            </w:r>
            <w:r>
              <w:rPr>
                <w:rFonts w:hint="eastAsia" w:ascii="宋体" w:hAnsi="宋体" w:cs="宋体"/>
                <w:kern w:val="0"/>
                <w:szCs w:val="21"/>
              </w:rPr>
              <w:t>分</w:t>
            </w:r>
            <w:r>
              <w:rPr>
                <w:rFonts w:ascii="宋体" w:hAnsi="宋体" w:cs="宋体"/>
                <w:kern w:val="0"/>
                <w:szCs w:val="21"/>
              </w:rPr>
              <w:t>-90</w:t>
            </w:r>
            <w:r>
              <w:rPr>
                <w:rFonts w:hint="eastAsia" w:ascii="宋体" w:hAnsi="宋体" w:cs="宋体"/>
                <w:kern w:val="0"/>
                <w:szCs w:val="21"/>
              </w:rPr>
              <w:t>分（不含</w:t>
            </w:r>
            <w:r>
              <w:rPr>
                <w:rFonts w:ascii="宋体" w:hAnsi="宋体" w:cs="宋体"/>
                <w:kern w:val="0"/>
                <w:szCs w:val="21"/>
              </w:rPr>
              <w:t>90</w:t>
            </w:r>
            <w:r>
              <w:rPr>
                <w:rFonts w:hint="eastAsia" w:ascii="宋体" w:hAnsi="宋体" w:cs="宋体"/>
                <w:kern w:val="0"/>
                <w:szCs w:val="21"/>
              </w:rPr>
              <w:t>分）</w:t>
            </w:r>
          </w:p>
          <w:p w14:paraId="0280D34B">
            <w:pPr>
              <w:widowControl/>
              <w:jc w:val="left"/>
              <w:rPr>
                <w:rFonts w:ascii="宋体" w:cs="宋体"/>
                <w:kern w:val="0"/>
                <w:sz w:val="18"/>
                <w:szCs w:val="18"/>
              </w:rPr>
            </w:pPr>
            <w:r>
              <w:rPr>
                <w:rFonts w:ascii="宋体" w:hAnsi="宋体" w:cs="宋体"/>
                <w:kern w:val="0"/>
                <w:szCs w:val="21"/>
              </w:rPr>
              <w:t>E</w:t>
            </w:r>
            <w:r>
              <w:rPr>
                <w:rFonts w:hint="eastAsia" w:ascii="宋体" w:hAnsi="宋体" w:cs="宋体"/>
                <w:kern w:val="0"/>
                <w:szCs w:val="21"/>
              </w:rPr>
              <w:t>、</w:t>
            </w:r>
            <w:r>
              <w:rPr>
                <w:rFonts w:ascii="宋体" w:hAnsi="宋体" w:cs="宋体"/>
                <w:kern w:val="0"/>
                <w:szCs w:val="21"/>
              </w:rPr>
              <w:t>75</w:t>
            </w:r>
            <w:r>
              <w:rPr>
                <w:rFonts w:hint="eastAsia" w:ascii="宋体" w:hAnsi="宋体" w:cs="宋体"/>
                <w:kern w:val="0"/>
                <w:szCs w:val="21"/>
              </w:rPr>
              <w:t>分以下（不含</w:t>
            </w:r>
            <w:r>
              <w:rPr>
                <w:rFonts w:ascii="宋体" w:hAnsi="宋体" w:cs="宋体"/>
                <w:kern w:val="0"/>
                <w:szCs w:val="21"/>
              </w:rPr>
              <w:t>75</w:t>
            </w:r>
            <w:r>
              <w:rPr>
                <w:rFonts w:hint="eastAsia" w:ascii="宋体" w:hAnsi="宋体" w:cs="宋体"/>
                <w:kern w:val="0"/>
                <w:szCs w:val="21"/>
              </w:rPr>
              <w:t>分）</w:t>
            </w:r>
          </w:p>
        </w:tc>
      </w:tr>
      <w:tr w14:paraId="151AFFE6">
        <w:tblPrEx>
          <w:tblCellMar>
            <w:top w:w="0" w:type="dxa"/>
            <w:left w:w="108" w:type="dxa"/>
            <w:bottom w:w="0" w:type="dxa"/>
            <w:right w:w="108" w:type="dxa"/>
          </w:tblCellMar>
        </w:tblPrEx>
        <w:trPr>
          <w:trHeight w:val="2304" w:hRule="exact"/>
        </w:trPr>
        <w:tc>
          <w:tcPr>
            <w:tcW w:w="1980" w:type="dxa"/>
            <w:tcBorders>
              <w:top w:val="single" w:color="auto" w:sz="4" w:space="0"/>
              <w:left w:val="single" w:color="auto" w:sz="4" w:space="0"/>
              <w:bottom w:val="single" w:color="auto" w:sz="4" w:space="0"/>
              <w:right w:val="single" w:color="auto" w:sz="4" w:space="0"/>
            </w:tcBorders>
            <w:vAlign w:val="center"/>
          </w:tcPr>
          <w:p w14:paraId="5D81E336">
            <w:pPr>
              <w:widowControl/>
              <w:jc w:val="center"/>
              <w:rPr>
                <w:rFonts w:ascii="宋体" w:cs="宋体"/>
                <w:kern w:val="0"/>
                <w:sz w:val="24"/>
              </w:rPr>
            </w:pPr>
            <w:r>
              <w:rPr>
                <w:rFonts w:hint="eastAsia" w:ascii="宋体" w:hAnsi="宋体" w:cs="宋体"/>
                <w:szCs w:val="21"/>
              </w:rPr>
              <w:t>完成项目投资</w:t>
            </w:r>
          </w:p>
        </w:tc>
        <w:tc>
          <w:tcPr>
            <w:tcW w:w="1080" w:type="dxa"/>
            <w:tcBorders>
              <w:top w:val="single" w:color="auto" w:sz="4" w:space="0"/>
              <w:left w:val="nil"/>
              <w:bottom w:val="nil"/>
              <w:right w:val="single" w:color="auto" w:sz="4" w:space="0"/>
            </w:tcBorders>
            <w:vAlign w:val="center"/>
          </w:tcPr>
          <w:p w14:paraId="44BF207D">
            <w:pPr>
              <w:widowControl/>
              <w:jc w:val="center"/>
              <w:rPr>
                <w:rFonts w:ascii="宋体" w:hAnsi="宋体" w:cs="宋体"/>
                <w:bCs/>
                <w:kern w:val="0"/>
                <w:szCs w:val="21"/>
              </w:rPr>
            </w:pPr>
            <w:r>
              <w:rPr>
                <w:rFonts w:ascii="宋体" w:hAnsi="宋体" w:cs="宋体"/>
                <w:bCs/>
                <w:kern w:val="0"/>
                <w:szCs w:val="21"/>
              </w:rPr>
              <w:t>1</w:t>
            </w:r>
            <w:r>
              <w:rPr>
                <w:rFonts w:hint="eastAsia" w:ascii="宋体" w:hAnsi="宋体" w:cs="宋体"/>
                <w:bCs/>
                <w:kern w:val="0"/>
                <w:szCs w:val="21"/>
              </w:rPr>
              <w:t>0</w:t>
            </w:r>
          </w:p>
        </w:tc>
        <w:tc>
          <w:tcPr>
            <w:tcW w:w="6660" w:type="dxa"/>
            <w:tcBorders>
              <w:top w:val="nil"/>
              <w:left w:val="nil"/>
              <w:bottom w:val="single" w:color="auto" w:sz="4" w:space="0"/>
              <w:right w:val="single" w:color="auto" w:sz="4" w:space="0"/>
            </w:tcBorders>
            <w:vAlign w:val="center"/>
          </w:tcPr>
          <w:p w14:paraId="4875D5C6">
            <w:pPr>
              <w:widowControl/>
              <w:jc w:val="left"/>
              <w:rPr>
                <w:rFonts w:ascii="宋体" w:hAnsi="宋体" w:cs="宋体"/>
                <w:kern w:val="0"/>
                <w:szCs w:val="21"/>
              </w:rPr>
            </w:pPr>
            <w:r>
              <w:rPr>
                <w:rFonts w:hint="eastAsia" w:ascii="宋体" w:hAnsi="宋体" w:cs="宋体"/>
                <w:kern w:val="0"/>
                <w:szCs w:val="21"/>
              </w:rPr>
              <w:t>该指标评价项目实际投资情况，分指标填列，计算公式：项目投资完成率</w:t>
            </w:r>
            <w:r>
              <w:rPr>
                <w:rFonts w:ascii="宋体" w:hAnsi="宋体" w:cs="宋体"/>
                <w:kern w:val="0"/>
                <w:szCs w:val="21"/>
              </w:rPr>
              <w:t>=</w:t>
            </w:r>
            <w:r>
              <w:rPr>
                <w:rFonts w:hint="eastAsia" w:ascii="宋体" w:hAnsi="宋体" w:cs="宋体"/>
                <w:kern w:val="0"/>
                <w:szCs w:val="21"/>
              </w:rPr>
              <w:t>实际结果</w:t>
            </w:r>
            <w:r>
              <w:rPr>
                <w:rFonts w:ascii="宋体" w:hAnsi="宋体" w:cs="宋体"/>
                <w:kern w:val="0"/>
                <w:szCs w:val="21"/>
              </w:rPr>
              <w:t>/</w:t>
            </w:r>
            <w:r>
              <w:rPr>
                <w:rFonts w:hint="eastAsia" w:ascii="宋体" w:hAnsi="宋体" w:cs="宋体"/>
                <w:kern w:val="0"/>
                <w:szCs w:val="21"/>
              </w:rPr>
              <w:t>预期目标</w:t>
            </w:r>
            <w:r>
              <w:rPr>
                <w:rFonts w:ascii="宋体" w:hAnsi="宋体" w:cs="宋体"/>
                <w:kern w:val="0"/>
                <w:szCs w:val="21"/>
              </w:rPr>
              <w:t>*100%</w:t>
            </w:r>
          </w:p>
          <w:p w14:paraId="3829CEB5">
            <w:pPr>
              <w:widowControl/>
              <w:jc w:val="left"/>
              <w:rPr>
                <w:rFonts w:ascii="宋体" w:hAnsi="宋体" w:cs="宋体"/>
                <w:kern w:val="0"/>
                <w:szCs w:val="21"/>
              </w:rPr>
            </w:pPr>
            <w:r>
              <w:rPr>
                <w:rFonts w:ascii="宋体" w:hAnsi="宋体" w:cs="宋体"/>
                <w:kern w:val="0"/>
                <w:szCs w:val="21"/>
              </w:rPr>
              <w:t>A</w:t>
            </w:r>
            <w:r>
              <w:rPr>
                <w:rFonts w:hint="eastAsia" w:ascii="宋体" w:hAnsi="宋体" w:cs="宋体"/>
                <w:kern w:val="0"/>
                <w:szCs w:val="21"/>
              </w:rPr>
              <w:t>、项目投资完成率达到</w:t>
            </w:r>
            <w:r>
              <w:rPr>
                <w:rFonts w:ascii="宋体" w:hAnsi="宋体" w:cs="宋体"/>
                <w:kern w:val="0"/>
                <w:szCs w:val="21"/>
              </w:rPr>
              <w:t>100%</w:t>
            </w:r>
          </w:p>
          <w:p w14:paraId="184E7F84">
            <w:pPr>
              <w:widowControl/>
              <w:jc w:val="left"/>
              <w:rPr>
                <w:rFonts w:ascii="宋体" w:hAnsi="宋体" w:cs="宋体"/>
                <w:kern w:val="0"/>
                <w:szCs w:val="21"/>
              </w:rPr>
            </w:pPr>
            <w:r>
              <w:rPr>
                <w:rFonts w:ascii="宋体" w:hAnsi="宋体" w:cs="宋体"/>
                <w:kern w:val="0"/>
                <w:szCs w:val="21"/>
              </w:rPr>
              <w:t>B</w:t>
            </w:r>
            <w:r>
              <w:rPr>
                <w:rFonts w:hint="eastAsia" w:ascii="宋体" w:hAnsi="宋体" w:cs="宋体"/>
                <w:kern w:val="0"/>
                <w:szCs w:val="21"/>
              </w:rPr>
              <w:t>、</w:t>
            </w:r>
            <w:r>
              <w:rPr>
                <w:rFonts w:ascii="宋体" w:hAnsi="宋体" w:cs="宋体"/>
                <w:kern w:val="0"/>
                <w:szCs w:val="21"/>
              </w:rPr>
              <w:t>80%</w:t>
            </w:r>
            <w:r>
              <w:rPr>
                <w:rFonts w:hint="eastAsia" w:ascii="宋体" w:hAnsi="宋体" w:cs="宋体"/>
                <w:kern w:val="0"/>
                <w:szCs w:val="21"/>
              </w:rPr>
              <w:t>≤项目投资完成率</w:t>
            </w:r>
            <w:r>
              <w:rPr>
                <w:rFonts w:ascii="宋体" w:hAnsi="宋体" w:cs="宋体"/>
                <w:kern w:val="0"/>
                <w:szCs w:val="21"/>
              </w:rPr>
              <w:t>&lt;100%</w:t>
            </w:r>
          </w:p>
          <w:p w14:paraId="06230C91">
            <w:pPr>
              <w:widowControl/>
              <w:jc w:val="left"/>
              <w:rPr>
                <w:rFonts w:ascii="宋体" w:hAnsi="宋体" w:cs="宋体"/>
                <w:kern w:val="0"/>
                <w:szCs w:val="21"/>
              </w:rPr>
            </w:pPr>
            <w:r>
              <w:rPr>
                <w:rFonts w:ascii="宋体" w:hAnsi="宋体" w:cs="宋体"/>
                <w:kern w:val="0"/>
                <w:szCs w:val="21"/>
              </w:rPr>
              <w:t>C</w:t>
            </w:r>
            <w:r>
              <w:rPr>
                <w:rFonts w:hint="eastAsia" w:ascii="宋体" w:hAnsi="宋体" w:cs="宋体"/>
                <w:kern w:val="0"/>
                <w:szCs w:val="21"/>
              </w:rPr>
              <w:t>、</w:t>
            </w:r>
            <w:r>
              <w:rPr>
                <w:rFonts w:ascii="宋体" w:hAnsi="宋体" w:cs="宋体"/>
                <w:kern w:val="0"/>
                <w:szCs w:val="21"/>
              </w:rPr>
              <w:t>60%</w:t>
            </w:r>
            <w:r>
              <w:rPr>
                <w:rFonts w:hint="eastAsia" w:ascii="宋体" w:hAnsi="宋体" w:cs="宋体"/>
                <w:kern w:val="0"/>
                <w:szCs w:val="21"/>
              </w:rPr>
              <w:t>≤项目投资完成率</w:t>
            </w:r>
            <w:r>
              <w:rPr>
                <w:rFonts w:ascii="宋体" w:hAnsi="宋体" w:cs="宋体"/>
                <w:kern w:val="0"/>
                <w:szCs w:val="21"/>
              </w:rPr>
              <w:t>&lt;80%</w:t>
            </w:r>
          </w:p>
          <w:p w14:paraId="7FAFC7A9">
            <w:pPr>
              <w:widowControl/>
              <w:jc w:val="left"/>
              <w:rPr>
                <w:rFonts w:ascii="宋体" w:hAnsi="宋体" w:cs="宋体"/>
                <w:kern w:val="0"/>
                <w:szCs w:val="21"/>
              </w:rPr>
            </w:pPr>
            <w:r>
              <w:rPr>
                <w:rFonts w:ascii="宋体" w:hAnsi="宋体" w:cs="宋体"/>
                <w:kern w:val="0"/>
                <w:szCs w:val="21"/>
              </w:rPr>
              <w:t>D</w:t>
            </w:r>
            <w:r>
              <w:rPr>
                <w:rFonts w:hint="eastAsia" w:ascii="宋体" w:hAnsi="宋体" w:cs="宋体"/>
                <w:kern w:val="0"/>
                <w:szCs w:val="21"/>
              </w:rPr>
              <w:t>、</w:t>
            </w:r>
            <w:r>
              <w:rPr>
                <w:rFonts w:ascii="宋体" w:hAnsi="宋体" w:cs="宋体"/>
                <w:kern w:val="0"/>
                <w:szCs w:val="21"/>
              </w:rPr>
              <w:t>20%</w:t>
            </w:r>
            <w:r>
              <w:rPr>
                <w:rFonts w:hint="eastAsia" w:ascii="宋体" w:hAnsi="宋体" w:cs="宋体"/>
                <w:kern w:val="0"/>
                <w:szCs w:val="21"/>
              </w:rPr>
              <w:t>≤项目投资完成率</w:t>
            </w:r>
            <w:r>
              <w:rPr>
                <w:rFonts w:ascii="宋体" w:hAnsi="宋体" w:cs="宋体"/>
                <w:kern w:val="0"/>
                <w:szCs w:val="21"/>
              </w:rPr>
              <w:t>&lt;60%</w:t>
            </w:r>
          </w:p>
          <w:p w14:paraId="00BCE44B">
            <w:pPr>
              <w:widowControl/>
              <w:jc w:val="left"/>
              <w:rPr>
                <w:rFonts w:ascii="宋体" w:cs="宋体"/>
                <w:kern w:val="0"/>
                <w:sz w:val="18"/>
                <w:szCs w:val="18"/>
              </w:rPr>
            </w:pPr>
            <w:r>
              <w:rPr>
                <w:rFonts w:ascii="宋体" w:hAnsi="宋体" w:cs="宋体"/>
                <w:kern w:val="0"/>
                <w:szCs w:val="21"/>
              </w:rPr>
              <w:t>E</w:t>
            </w:r>
            <w:r>
              <w:rPr>
                <w:rFonts w:hint="eastAsia" w:ascii="宋体" w:hAnsi="宋体" w:cs="宋体"/>
                <w:kern w:val="0"/>
                <w:szCs w:val="21"/>
              </w:rPr>
              <w:t>、项目投资完成率</w:t>
            </w:r>
            <w:r>
              <w:rPr>
                <w:rFonts w:ascii="宋体" w:hAnsi="宋体" w:cs="宋体"/>
                <w:kern w:val="0"/>
                <w:szCs w:val="21"/>
              </w:rPr>
              <w:t>&lt;20%</w:t>
            </w:r>
            <w:r>
              <w:rPr>
                <w:rFonts w:hint="eastAsia" w:ascii="宋体" w:hAnsi="宋体" w:cs="宋体"/>
                <w:kern w:val="0"/>
                <w:szCs w:val="21"/>
              </w:rPr>
              <w:t>。</w:t>
            </w:r>
          </w:p>
        </w:tc>
      </w:tr>
      <w:tr w14:paraId="48372F1D">
        <w:tblPrEx>
          <w:tblCellMar>
            <w:top w:w="0" w:type="dxa"/>
            <w:left w:w="108" w:type="dxa"/>
            <w:bottom w:w="0" w:type="dxa"/>
            <w:right w:w="108" w:type="dxa"/>
          </w:tblCellMar>
        </w:tblPrEx>
        <w:trPr>
          <w:trHeight w:val="3145" w:hRule="exact"/>
        </w:trPr>
        <w:tc>
          <w:tcPr>
            <w:tcW w:w="1980" w:type="dxa"/>
            <w:tcBorders>
              <w:top w:val="single" w:color="auto" w:sz="4" w:space="0"/>
              <w:left w:val="single" w:color="auto" w:sz="4" w:space="0"/>
              <w:bottom w:val="single" w:color="auto" w:sz="4" w:space="0"/>
              <w:right w:val="single" w:color="auto" w:sz="4" w:space="0"/>
            </w:tcBorders>
            <w:vAlign w:val="center"/>
          </w:tcPr>
          <w:p w14:paraId="24927DCE">
            <w:pPr>
              <w:widowControl/>
              <w:jc w:val="center"/>
              <w:rPr>
                <w:rFonts w:ascii="宋体" w:cs="宋体"/>
                <w:kern w:val="0"/>
                <w:sz w:val="24"/>
              </w:rPr>
            </w:pPr>
            <w:r>
              <w:rPr>
                <w:rFonts w:hint="eastAsia" w:ascii="宋体" w:hAnsi="宋体" w:cs="宋体"/>
                <w:szCs w:val="21"/>
              </w:rPr>
              <w:t>完成项目的时效</w:t>
            </w:r>
          </w:p>
        </w:tc>
        <w:tc>
          <w:tcPr>
            <w:tcW w:w="1080" w:type="dxa"/>
            <w:tcBorders>
              <w:top w:val="single" w:color="auto" w:sz="4" w:space="0"/>
              <w:left w:val="nil"/>
              <w:bottom w:val="single" w:color="auto" w:sz="4" w:space="0"/>
              <w:right w:val="single" w:color="auto" w:sz="4" w:space="0"/>
            </w:tcBorders>
            <w:vAlign w:val="center"/>
          </w:tcPr>
          <w:p w14:paraId="428E8017">
            <w:pPr>
              <w:widowControl/>
              <w:jc w:val="center"/>
              <w:rPr>
                <w:rFonts w:ascii="宋体" w:hAnsi="宋体" w:cs="宋体"/>
                <w:bCs/>
                <w:kern w:val="0"/>
                <w:szCs w:val="21"/>
              </w:rPr>
            </w:pPr>
            <w:r>
              <w:rPr>
                <w:rFonts w:ascii="宋体" w:hAnsi="宋体" w:cs="宋体"/>
                <w:bCs/>
                <w:kern w:val="0"/>
                <w:szCs w:val="21"/>
              </w:rPr>
              <w:t>10</w:t>
            </w:r>
          </w:p>
        </w:tc>
        <w:tc>
          <w:tcPr>
            <w:tcW w:w="6660" w:type="dxa"/>
            <w:tcBorders>
              <w:top w:val="nil"/>
              <w:left w:val="nil"/>
              <w:bottom w:val="single" w:color="auto" w:sz="4" w:space="0"/>
              <w:right w:val="single" w:color="auto" w:sz="4" w:space="0"/>
            </w:tcBorders>
            <w:vAlign w:val="center"/>
          </w:tcPr>
          <w:p w14:paraId="67231012">
            <w:pPr>
              <w:widowControl/>
              <w:jc w:val="left"/>
              <w:rPr>
                <w:rFonts w:ascii="宋体" w:cs="宋体"/>
                <w:kern w:val="0"/>
                <w:sz w:val="18"/>
                <w:szCs w:val="18"/>
              </w:rPr>
            </w:pPr>
            <w:r>
              <w:rPr>
                <w:rFonts w:ascii="宋体" w:hAnsi="宋体" w:cs="宋体"/>
                <w:kern w:val="0"/>
                <w:sz w:val="18"/>
                <w:szCs w:val="18"/>
              </w:rPr>
              <w:t>A</w:t>
            </w:r>
            <w:r>
              <w:rPr>
                <w:rFonts w:hint="eastAsia" w:ascii="宋体" w:hAnsi="宋体" w:cs="宋体"/>
                <w:kern w:val="0"/>
                <w:sz w:val="18"/>
                <w:szCs w:val="18"/>
              </w:rPr>
              <w:t>、严格按计划时间规定完成（按市、县汇总评价的农村公路建设、危桥加固、农村客运网络项目开工率</w:t>
            </w:r>
            <w:r>
              <w:rPr>
                <w:rFonts w:ascii="宋体" w:hAnsi="宋体" w:cs="宋体"/>
                <w:kern w:val="0"/>
                <w:sz w:val="18"/>
                <w:szCs w:val="18"/>
              </w:rPr>
              <w:t>100%</w:t>
            </w:r>
            <w:r>
              <w:rPr>
                <w:rFonts w:hint="eastAsia" w:ascii="宋体" w:hAnsi="宋体" w:cs="宋体"/>
                <w:kern w:val="0"/>
                <w:sz w:val="18"/>
                <w:szCs w:val="18"/>
              </w:rPr>
              <w:t>）。</w:t>
            </w:r>
          </w:p>
          <w:p w14:paraId="6EC7220B">
            <w:pPr>
              <w:widowControl/>
              <w:jc w:val="left"/>
              <w:rPr>
                <w:rFonts w:ascii="宋体" w:cs="宋体"/>
                <w:kern w:val="0"/>
                <w:sz w:val="18"/>
                <w:szCs w:val="18"/>
              </w:rPr>
            </w:pPr>
            <w:r>
              <w:rPr>
                <w:rFonts w:ascii="宋体" w:hAnsi="宋体" w:cs="宋体"/>
                <w:kern w:val="0"/>
                <w:sz w:val="18"/>
                <w:szCs w:val="18"/>
              </w:rPr>
              <w:t>B</w:t>
            </w:r>
            <w:r>
              <w:rPr>
                <w:rFonts w:hint="eastAsia" w:ascii="宋体" w:hAnsi="宋体" w:cs="宋体"/>
                <w:kern w:val="0"/>
                <w:sz w:val="18"/>
                <w:szCs w:val="18"/>
              </w:rPr>
              <w:t>、没严格按合同规定时限完成，但逾期时间不超过一个月。（按市、县汇总评价的农村公路建设、危桥加固、农村客运网络项目开工率</w:t>
            </w:r>
            <w:r>
              <w:rPr>
                <w:rFonts w:ascii="宋体" w:hAnsi="宋体" w:cs="宋体"/>
                <w:kern w:val="0"/>
                <w:sz w:val="18"/>
                <w:szCs w:val="18"/>
              </w:rPr>
              <w:t>80%</w:t>
            </w:r>
            <w:r>
              <w:rPr>
                <w:rFonts w:hint="eastAsia" w:ascii="宋体" w:hAnsi="宋体" w:cs="宋体"/>
                <w:kern w:val="0"/>
                <w:sz w:val="18"/>
                <w:szCs w:val="18"/>
              </w:rPr>
              <w:t>）</w:t>
            </w:r>
          </w:p>
          <w:p w14:paraId="452C698B">
            <w:pPr>
              <w:widowControl/>
              <w:jc w:val="left"/>
              <w:rPr>
                <w:rFonts w:ascii="宋体" w:cs="宋体"/>
                <w:kern w:val="0"/>
                <w:sz w:val="18"/>
                <w:szCs w:val="18"/>
              </w:rPr>
            </w:pPr>
            <w:r>
              <w:rPr>
                <w:rFonts w:ascii="宋体" w:hAnsi="宋体" w:cs="宋体"/>
                <w:kern w:val="0"/>
                <w:sz w:val="18"/>
                <w:szCs w:val="18"/>
              </w:rPr>
              <w:t>C</w:t>
            </w:r>
            <w:r>
              <w:rPr>
                <w:rFonts w:hint="eastAsia" w:ascii="宋体" w:hAnsi="宋体" w:cs="宋体"/>
                <w:kern w:val="0"/>
                <w:sz w:val="18"/>
                <w:szCs w:val="18"/>
              </w:rPr>
              <w:t>、没严格按合同规定时限完成，但逾期时间不超过三个月。（按市、县汇总评价的农村公路建设、危桥加固、农村客运网络项目开工率</w:t>
            </w:r>
            <w:r>
              <w:rPr>
                <w:rFonts w:ascii="宋体" w:hAnsi="宋体" w:cs="宋体"/>
                <w:kern w:val="0"/>
                <w:sz w:val="18"/>
                <w:szCs w:val="18"/>
              </w:rPr>
              <w:t>60%</w:t>
            </w:r>
            <w:r>
              <w:rPr>
                <w:rFonts w:hint="eastAsia" w:ascii="宋体" w:hAnsi="宋体" w:cs="宋体"/>
                <w:kern w:val="0"/>
                <w:sz w:val="18"/>
                <w:szCs w:val="18"/>
              </w:rPr>
              <w:t>）</w:t>
            </w:r>
          </w:p>
          <w:p w14:paraId="608103D9">
            <w:pPr>
              <w:widowControl/>
              <w:jc w:val="left"/>
              <w:rPr>
                <w:rFonts w:ascii="宋体" w:cs="宋体"/>
                <w:kern w:val="0"/>
                <w:sz w:val="18"/>
                <w:szCs w:val="18"/>
              </w:rPr>
            </w:pPr>
            <w:r>
              <w:rPr>
                <w:rFonts w:ascii="宋体" w:hAnsi="宋体" w:cs="宋体"/>
                <w:kern w:val="0"/>
                <w:sz w:val="18"/>
                <w:szCs w:val="18"/>
              </w:rPr>
              <w:t>D</w:t>
            </w:r>
            <w:r>
              <w:rPr>
                <w:rFonts w:hint="eastAsia" w:ascii="宋体" w:hAnsi="宋体" w:cs="宋体"/>
                <w:kern w:val="0"/>
                <w:sz w:val="18"/>
                <w:szCs w:val="18"/>
              </w:rPr>
              <w:t>、没严格按合同规定时限完成，但逾期时间不超过六个月。（按市、县汇总评价的农村公路建设、危桥加固、农村客运网络项目开工率</w:t>
            </w:r>
            <w:r>
              <w:rPr>
                <w:rFonts w:ascii="宋体" w:hAnsi="宋体" w:cs="宋体"/>
                <w:kern w:val="0"/>
                <w:sz w:val="18"/>
                <w:szCs w:val="18"/>
              </w:rPr>
              <w:t>50%</w:t>
            </w:r>
            <w:r>
              <w:rPr>
                <w:rFonts w:hint="eastAsia" w:ascii="宋体" w:hAnsi="宋体" w:cs="宋体"/>
                <w:kern w:val="0"/>
                <w:sz w:val="18"/>
                <w:szCs w:val="18"/>
              </w:rPr>
              <w:t>）。</w:t>
            </w:r>
          </w:p>
          <w:p w14:paraId="031C516C">
            <w:pPr>
              <w:widowControl/>
              <w:jc w:val="left"/>
              <w:rPr>
                <w:rFonts w:ascii="宋体" w:cs="宋体"/>
                <w:kern w:val="0"/>
                <w:sz w:val="18"/>
                <w:szCs w:val="18"/>
              </w:rPr>
            </w:pPr>
            <w:r>
              <w:rPr>
                <w:rFonts w:ascii="宋体" w:hAnsi="宋体" w:cs="宋体"/>
                <w:kern w:val="0"/>
                <w:sz w:val="18"/>
                <w:szCs w:val="18"/>
              </w:rPr>
              <w:t>E</w:t>
            </w:r>
            <w:r>
              <w:rPr>
                <w:rFonts w:hint="eastAsia" w:ascii="宋体" w:hAnsi="宋体" w:cs="宋体"/>
                <w:kern w:val="0"/>
                <w:sz w:val="18"/>
                <w:szCs w:val="18"/>
              </w:rPr>
              <w:t>、项目没有实施。（按市、县汇总评价的农村公路建设、危桥加固、农村客运网络项目开工率低于</w:t>
            </w:r>
            <w:r>
              <w:rPr>
                <w:rFonts w:ascii="宋体" w:hAnsi="宋体" w:cs="宋体"/>
                <w:kern w:val="0"/>
                <w:sz w:val="18"/>
                <w:szCs w:val="18"/>
              </w:rPr>
              <w:t>20%</w:t>
            </w:r>
            <w:r>
              <w:rPr>
                <w:rFonts w:hint="eastAsia" w:ascii="宋体" w:hAnsi="宋体" w:cs="宋体"/>
                <w:kern w:val="0"/>
                <w:sz w:val="18"/>
                <w:szCs w:val="18"/>
              </w:rPr>
              <w:t>。）。</w:t>
            </w:r>
          </w:p>
        </w:tc>
      </w:tr>
    </w:tbl>
    <w:p w14:paraId="645B32B4">
      <w:pPr>
        <w:snapToGrid w:val="0"/>
        <w:spacing w:line="540" w:lineRule="exact"/>
        <w:ind w:firstLine="640" w:firstLineChars="200"/>
        <w:rPr>
          <w:rFonts w:ascii="仿宋_GB2312" w:eastAsia="仿宋_GB2312"/>
          <w:sz w:val="32"/>
          <w:szCs w:val="32"/>
        </w:rPr>
      </w:pPr>
    </w:p>
    <w:p w14:paraId="61081407">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2、效果指标（40分）</w:t>
      </w:r>
    </w:p>
    <w:tbl>
      <w:tblPr>
        <w:tblStyle w:val="7"/>
        <w:tblW w:w="23040" w:type="dxa"/>
        <w:tblInd w:w="-252" w:type="dxa"/>
        <w:tblLayout w:type="fixed"/>
        <w:tblCellMar>
          <w:top w:w="0" w:type="dxa"/>
          <w:left w:w="108" w:type="dxa"/>
          <w:bottom w:w="0" w:type="dxa"/>
          <w:right w:w="108" w:type="dxa"/>
        </w:tblCellMar>
      </w:tblPr>
      <w:tblGrid>
        <w:gridCol w:w="1980"/>
        <w:gridCol w:w="1080"/>
        <w:gridCol w:w="6660"/>
        <w:gridCol w:w="6660"/>
        <w:gridCol w:w="6660"/>
      </w:tblGrid>
      <w:tr w14:paraId="2ADABAB2">
        <w:tblPrEx>
          <w:tblCellMar>
            <w:top w:w="0" w:type="dxa"/>
            <w:left w:w="108" w:type="dxa"/>
            <w:bottom w:w="0" w:type="dxa"/>
            <w:right w:w="108" w:type="dxa"/>
          </w:tblCellMar>
        </w:tblPrEx>
        <w:trPr>
          <w:trHeight w:val="796" w:hRule="atLeast"/>
        </w:trPr>
        <w:tc>
          <w:tcPr>
            <w:tcW w:w="1980" w:type="dxa"/>
            <w:vMerge w:val="restart"/>
            <w:tcBorders>
              <w:top w:val="single" w:color="auto" w:sz="4" w:space="0"/>
              <w:left w:val="single" w:color="auto" w:sz="4" w:space="0"/>
              <w:right w:val="single" w:color="auto" w:sz="4" w:space="0"/>
            </w:tcBorders>
            <w:vAlign w:val="center"/>
          </w:tcPr>
          <w:p w14:paraId="44808414">
            <w:pPr>
              <w:widowControl/>
              <w:jc w:val="center"/>
              <w:rPr>
                <w:rFonts w:ascii="宋体" w:cs="宋体"/>
                <w:kern w:val="0"/>
                <w:szCs w:val="21"/>
              </w:rPr>
            </w:pPr>
            <w:r>
              <w:rPr>
                <w:rFonts w:hint="eastAsia" w:ascii="宋体" w:hAnsi="宋体" w:cs="宋体"/>
                <w:b/>
                <w:bCs/>
                <w:kern w:val="0"/>
                <w:szCs w:val="21"/>
              </w:rPr>
              <w:t>绩效评价指标</w:t>
            </w:r>
          </w:p>
        </w:tc>
        <w:tc>
          <w:tcPr>
            <w:tcW w:w="1080" w:type="dxa"/>
            <w:vMerge w:val="restart"/>
            <w:tcBorders>
              <w:top w:val="single" w:color="auto" w:sz="4" w:space="0"/>
              <w:left w:val="nil"/>
              <w:right w:val="single" w:color="auto" w:sz="4" w:space="0"/>
            </w:tcBorders>
            <w:vAlign w:val="center"/>
          </w:tcPr>
          <w:p w14:paraId="620960F7">
            <w:pPr>
              <w:widowControl/>
              <w:jc w:val="center"/>
              <w:rPr>
                <w:rFonts w:ascii="宋体" w:cs="宋体"/>
                <w:bCs/>
                <w:kern w:val="0"/>
                <w:szCs w:val="18"/>
              </w:rPr>
            </w:pPr>
            <w:r>
              <w:rPr>
                <w:rFonts w:hint="eastAsia" w:ascii="宋体" w:hAnsi="宋体" w:cs="宋体"/>
                <w:b/>
                <w:kern w:val="0"/>
                <w:szCs w:val="21"/>
              </w:rPr>
              <w:t>分值</w:t>
            </w:r>
          </w:p>
        </w:tc>
        <w:tc>
          <w:tcPr>
            <w:tcW w:w="6660" w:type="dxa"/>
            <w:tcBorders>
              <w:top w:val="single" w:color="auto" w:sz="4" w:space="0"/>
              <w:left w:val="nil"/>
              <w:bottom w:val="single" w:color="auto" w:sz="4" w:space="0"/>
              <w:right w:val="single" w:color="auto" w:sz="4" w:space="0"/>
            </w:tcBorders>
            <w:vAlign w:val="center"/>
          </w:tcPr>
          <w:p w14:paraId="2D218133">
            <w:pPr>
              <w:widowControl/>
              <w:jc w:val="center"/>
              <w:rPr>
                <w:rFonts w:ascii="宋体" w:cs="宋体"/>
                <w:kern w:val="0"/>
                <w:szCs w:val="18"/>
              </w:rPr>
            </w:pPr>
            <w:r>
              <w:rPr>
                <w:rFonts w:hint="eastAsia" w:ascii="宋体" w:hAnsi="宋体"/>
                <w:b/>
                <w:szCs w:val="21"/>
              </w:rPr>
              <w:t>评分依据及标准</w:t>
            </w:r>
          </w:p>
        </w:tc>
        <w:tc>
          <w:tcPr>
            <w:tcW w:w="6660" w:type="dxa"/>
            <w:vAlign w:val="center"/>
          </w:tcPr>
          <w:p w14:paraId="238B1EAD">
            <w:pPr>
              <w:widowControl/>
              <w:jc w:val="center"/>
              <w:rPr>
                <w:rFonts w:ascii="宋体" w:cs="宋体"/>
                <w:bCs/>
                <w:kern w:val="0"/>
                <w:szCs w:val="18"/>
              </w:rPr>
            </w:pPr>
          </w:p>
        </w:tc>
        <w:tc>
          <w:tcPr>
            <w:tcW w:w="6660" w:type="dxa"/>
            <w:vAlign w:val="center"/>
          </w:tcPr>
          <w:p w14:paraId="713428E6">
            <w:pPr>
              <w:widowControl/>
              <w:rPr>
                <w:rFonts w:ascii="宋体" w:cs="宋体"/>
                <w:kern w:val="0"/>
                <w:szCs w:val="18"/>
              </w:rPr>
            </w:pPr>
          </w:p>
        </w:tc>
      </w:tr>
      <w:tr w14:paraId="4C603C98">
        <w:tblPrEx>
          <w:tblCellMar>
            <w:top w:w="0" w:type="dxa"/>
            <w:left w:w="108" w:type="dxa"/>
            <w:bottom w:w="0" w:type="dxa"/>
            <w:right w:w="108" w:type="dxa"/>
          </w:tblCellMar>
        </w:tblPrEx>
        <w:trPr>
          <w:trHeight w:val="796" w:hRule="atLeast"/>
        </w:trPr>
        <w:tc>
          <w:tcPr>
            <w:tcW w:w="1980" w:type="dxa"/>
            <w:vMerge w:val="continue"/>
            <w:tcBorders>
              <w:left w:val="single" w:color="auto" w:sz="4" w:space="0"/>
              <w:bottom w:val="single" w:color="auto" w:sz="4" w:space="0"/>
              <w:right w:val="single" w:color="auto" w:sz="4" w:space="0"/>
            </w:tcBorders>
            <w:vAlign w:val="center"/>
          </w:tcPr>
          <w:p w14:paraId="3391E438">
            <w:pPr>
              <w:widowControl/>
              <w:jc w:val="center"/>
              <w:rPr>
                <w:rFonts w:ascii="宋体" w:cs="宋体"/>
                <w:kern w:val="0"/>
                <w:szCs w:val="21"/>
              </w:rPr>
            </w:pPr>
          </w:p>
        </w:tc>
        <w:tc>
          <w:tcPr>
            <w:tcW w:w="1080" w:type="dxa"/>
            <w:vMerge w:val="continue"/>
            <w:tcBorders>
              <w:left w:val="nil"/>
              <w:bottom w:val="single" w:color="auto" w:sz="4" w:space="0"/>
              <w:right w:val="single" w:color="auto" w:sz="4" w:space="0"/>
            </w:tcBorders>
            <w:vAlign w:val="center"/>
          </w:tcPr>
          <w:p w14:paraId="658AF862">
            <w:pPr>
              <w:widowControl/>
              <w:jc w:val="center"/>
              <w:rPr>
                <w:rFonts w:ascii="宋体" w:cs="宋体"/>
                <w:bCs/>
                <w:kern w:val="0"/>
                <w:szCs w:val="18"/>
              </w:rPr>
            </w:pPr>
          </w:p>
        </w:tc>
        <w:tc>
          <w:tcPr>
            <w:tcW w:w="6660" w:type="dxa"/>
            <w:tcBorders>
              <w:top w:val="nil"/>
              <w:left w:val="nil"/>
              <w:bottom w:val="single" w:color="auto" w:sz="4" w:space="0"/>
              <w:right w:val="single" w:color="auto" w:sz="4" w:space="0"/>
            </w:tcBorders>
            <w:vAlign w:val="center"/>
          </w:tcPr>
          <w:p w14:paraId="653E137C">
            <w:pPr>
              <w:jc w:val="center"/>
              <w:rPr>
                <w:rFonts w:ascii="宋体"/>
                <w:b/>
                <w:szCs w:val="21"/>
              </w:rPr>
            </w:pPr>
            <w:r>
              <w:rPr>
                <w:rFonts w:ascii="宋体" w:hAnsi="宋体"/>
                <w:szCs w:val="21"/>
              </w:rPr>
              <w:t>A</w:t>
            </w:r>
            <w:r>
              <w:rPr>
                <w:rFonts w:hint="eastAsia" w:ascii="宋体" w:hAnsi="宋体"/>
                <w:szCs w:val="21"/>
              </w:rPr>
              <w:t>、</w:t>
            </w:r>
            <w:r>
              <w:rPr>
                <w:rFonts w:ascii="宋体" w:hAnsi="宋体"/>
                <w:szCs w:val="21"/>
              </w:rPr>
              <w:t>B</w:t>
            </w:r>
            <w:r>
              <w:rPr>
                <w:rFonts w:hint="eastAsia" w:ascii="宋体" w:hAnsi="宋体"/>
                <w:szCs w:val="21"/>
              </w:rPr>
              <w:t>、</w:t>
            </w:r>
            <w:r>
              <w:rPr>
                <w:rFonts w:ascii="宋体" w:hAnsi="宋体"/>
                <w:szCs w:val="21"/>
              </w:rPr>
              <w:t>C</w:t>
            </w:r>
            <w:r>
              <w:rPr>
                <w:rFonts w:hint="eastAsia" w:ascii="宋体" w:hAnsi="宋体"/>
                <w:szCs w:val="21"/>
              </w:rPr>
              <w:t>、</w:t>
            </w:r>
            <w:r>
              <w:rPr>
                <w:rFonts w:ascii="宋体" w:hAnsi="宋体"/>
                <w:szCs w:val="21"/>
              </w:rPr>
              <w:t>D</w:t>
            </w:r>
            <w:r>
              <w:rPr>
                <w:rFonts w:hint="eastAsia" w:ascii="宋体" w:hAnsi="宋体"/>
                <w:szCs w:val="21"/>
              </w:rPr>
              <w:t>、</w:t>
            </w:r>
            <w:r>
              <w:rPr>
                <w:rFonts w:ascii="宋体" w:hAnsi="宋体"/>
                <w:szCs w:val="21"/>
              </w:rPr>
              <w:t>E</w:t>
            </w:r>
            <w:r>
              <w:rPr>
                <w:rFonts w:hint="eastAsia" w:ascii="宋体" w:hAnsi="宋体"/>
                <w:szCs w:val="21"/>
              </w:rPr>
              <w:t>级得分依次为该指标分值的</w:t>
            </w:r>
            <w:r>
              <w:rPr>
                <w:rFonts w:ascii="宋体" w:hAnsi="宋体"/>
                <w:szCs w:val="21"/>
              </w:rPr>
              <w:t>100%</w:t>
            </w:r>
            <w:r>
              <w:rPr>
                <w:rFonts w:hint="eastAsia" w:ascii="宋体" w:hAnsi="宋体"/>
                <w:szCs w:val="21"/>
              </w:rPr>
              <w:t>、</w:t>
            </w:r>
            <w:r>
              <w:rPr>
                <w:rFonts w:ascii="宋体" w:hAnsi="宋体"/>
                <w:szCs w:val="21"/>
              </w:rPr>
              <w:t>80%</w:t>
            </w:r>
            <w:r>
              <w:rPr>
                <w:rFonts w:hint="eastAsia" w:ascii="宋体" w:hAnsi="宋体"/>
                <w:szCs w:val="21"/>
              </w:rPr>
              <w:t>、</w:t>
            </w:r>
            <w:r>
              <w:rPr>
                <w:rFonts w:ascii="宋体" w:hAnsi="宋体"/>
                <w:szCs w:val="21"/>
              </w:rPr>
              <w:t>60%</w:t>
            </w:r>
            <w:r>
              <w:rPr>
                <w:rFonts w:hint="eastAsia" w:ascii="宋体" w:hAnsi="宋体"/>
                <w:szCs w:val="21"/>
              </w:rPr>
              <w:t>、</w:t>
            </w:r>
            <w:r>
              <w:rPr>
                <w:rFonts w:ascii="宋体" w:hAnsi="宋体"/>
                <w:szCs w:val="21"/>
              </w:rPr>
              <w:t>20%</w:t>
            </w:r>
            <w:r>
              <w:rPr>
                <w:rFonts w:hint="eastAsia" w:ascii="宋体" w:hAnsi="宋体"/>
                <w:szCs w:val="21"/>
              </w:rPr>
              <w:t>、</w:t>
            </w:r>
            <w:r>
              <w:rPr>
                <w:rFonts w:ascii="宋体" w:hAnsi="宋体"/>
                <w:szCs w:val="21"/>
              </w:rPr>
              <w:t>0%</w:t>
            </w:r>
          </w:p>
        </w:tc>
        <w:tc>
          <w:tcPr>
            <w:tcW w:w="6660" w:type="dxa"/>
            <w:vAlign w:val="center"/>
          </w:tcPr>
          <w:p w14:paraId="34364C51">
            <w:pPr>
              <w:widowControl/>
              <w:jc w:val="center"/>
              <w:rPr>
                <w:rFonts w:ascii="宋体" w:cs="宋体"/>
                <w:bCs/>
                <w:kern w:val="0"/>
                <w:szCs w:val="18"/>
              </w:rPr>
            </w:pPr>
          </w:p>
        </w:tc>
        <w:tc>
          <w:tcPr>
            <w:tcW w:w="6660" w:type="dxa"/>
            <w:vAlign w:val="center"/>
          </w:tcPr>
          <w:p w14:paraId="2563B828">
            <w:pPr>
              <w:widowControl/>
              <w:rPr>
                <w:rFonts w:ascii="宋体" w:cs="宋体"/>
                <w:kern w:val="0"/>
                <w:szCs w:val="18"/>
              </w:rPr>
            </w:pPr>
          </w:p>
        </w:tc>
      </w:tr>
      <w:tr w14:paraId="3C9F7F1D">
        <w:tblPrEx>
          <w:tblCellMar>
            <w:top w:w="0" w:type="dxa"/>
            <w:left w:w="108" w:type="dxa"/>
            <w:bottom w:w="0" w:type="dxa"/>
            <w:right w:w="108" w:type="dxa"/>
          </w:tblCellMar>
        </w:tblPrEx>
        <w:trPr>
          <w:trHeight w:val="796" w:hRule="atLeast"/>
        </w:trPr>
        <w:tc>
          <w:tcPr>
            <w:tcW w:w="1980" w:type="dxa"/>
            <w:tcBorders>
              <w:top w:val="single" w:color="auto" w:sz="4" w:space="0"/>
              <w:left w:val="single" w:color="auto" w:sz="4" w:space="0"/>
              <w:bottom w:val="single" w:color="auto" w:sz="4" w:space="0"/>
              <w:right w:val="single" w:color="auto" w:sz="4" w:space="0"/>
            </w:tcBorders>
            <w:vAlign w:val="center"/>
          </w:tcPr>
          <w:p w14:paraId="77101B0F">
            <w:pPr>
              <w:widowControl/>
              <w:jc w:val="center"/>
              <w:rPr>
                <w:rFonts w:ascii="宋体" w:cs="宋体"/>
                <w:kern w:val="0"/>
                <w:szCs w:val="21"/>
              </w:rPr>
            </w:pPr>
            <w:r>
              <w:rPr>
                <w:rFonts w:hint="eastAsia" w:ascii="宋体" w:hAnsi="宋体" w:cs="宋体"/>
                <w:kern w:val="0"/>
                <w:szCs w:val="21"/>
              </w:rPr>
              <w:t>项目实现功能</w:t>
            </w:r>
          </w:p>
        </w:tc>
        <w:tc>
          <w:tcPr>
            <w:tcW w:w="1080" w:type="dxa"/>
            <w:tcBorders>
              <w:top w:val="single" w:color="auto" w:sz="4" w:space="0"/>
              <w:left w:val="nil"/>
              <w:bottom w:val="nil"/>
              <w:right w:val="single" w:color="auto" w:sz="4" w:space="0"/>
            </w:tcBorders>
            <w:vAlign w:val="center"/>
          </w:tcPr>
          <w:p w14:paraId="0F176907">
            <w:pPr>
              <w:widowControl/>
              <w:jc w:val="center"/>
              <w:rPr>
                <w:rFonts w:ascii="宋体" w:hAnsi="宋体" w:cs="宋体"/>
                <w:bCs/>
                <w:kern w:val="0"/>
                <w:szCs w:val="18"/>
              </w:rPr>
            </w:pPr>
            <w:r>
              <w:rPr>
                <w:rFonts w:ascii="宋体" w:hAnsi="宋体" w:cs="宋体"/>
                <w:bCs/>
                <w:kern w:val="0"/>
                <w:szCs w:val="18"/>
              </w:rPr>
              <w:t>10</w:t>
            </w:r>
          </w:p>
        </w:tc>
        <w:tc>
          <w:tcPr>
            <w:tcW w:w="6660" w:type="dxa"/>
            <w:tcBorders>
              <w:top w:val="single" w:color="auto" w:sz="4" w:space="0"/>
              <w:left w:val="nil"/>
              <w:bottom w:val="single" w:color="auto" w:sz="4" w:space="0"/>
              <w:right w:val="single" w:color="auto" w:sz="4" w:space="0"/>
            </w:tcBorders>
            <w:vAlign w:val="center"/>
          </w:tcPr>
          <w:p w14:paraId="022F7C69">
            <w:pPr>
              <w:widowControl/>
              <w:rPr>
                <w:rFonts w:ascii="宋体" w:cs="宋体"/>
                <w:kern w:val="0"/>
                <w:szCs w:val="18"/>
              </w:rPr>
            </w:pPr>
            <w:r>
              <w:rPr>
                <w:rFonts w:hint="eastAsia" w:ascii="宋体" w:hAnsi="宋体" w:cs="宋体"/>
                <w:kern w:val="0"/>
                <w:szCs w:val="18"/>
              </w:rPr>
              <w:t>项目实施方便群众安全、便捷出行</w:t>
            </w:r>
          </w:p>
          <w:p w14:paraId="3E29C3B3">
            <w:pPr>
              <w:widowControl/>
              <w:rPr>
                <w:rFonts w:ascii="宋体" w:cs="宋体"/>
                <w:szCs w:val="18"/>
              </w:rPr>
            </w:pPr>
            <w:r>
              <w:rPr>
                <w:rFonts w:ascii="宋体" w:hAnsi="宋体" w:cs="宋体"/>
                <w:szCs w:val="18"/>
              </w:rPr>
              <w:t>A</w:t>
            </w:r>
            <w:r>
              <w:rPr>
                <w:rFonts w:hint="eastAsia" w:ascii="宋体" w:hAnsi="宋体" w:cs="宋体"/>
                <w:szCs w:val="18"/>
              </w:rPr>
              <w:t>、达到设计标准，通行状况良好改善</w:t>
            </w:r>
          </w:p>
          <w:p w14:paraId="7CDDDE4C">
            <w:pPr>
              <w:widowControl/>
              <w:rPr>
                <w:rFonts w:ascii="宋体" w:cs="宋体"/>
                <w:szCs w:val="18"/>
              </w:rPr>
            </w:pPr>
            <w:r>
              <w:rPr>
                <w:rFonts w:ascii="宋体" w:hAnsi="宋体" w:cs="宋体"/>
                <w:szCs w:val="18"/>
              </w:rPr>
              <w:t>B</w:t>
            </w:r>
            <w:r>
              <w:rPr>
                <w:rFonts w:hint="eastAsia" w:ascii="宋体" w:hAnsi="宋体" w:cs="宋体"/>
                <w:szCs w:val="18"/>
              </w:rPr>
              <w:t>、基本达到设计标准，通行状况基本改善</w:t>
            </w:r>
          </w:p>
          <w:p w14:paraId="4CF25B86">
            <w:pPr>
              <w:widowControl/>
              <w:rPr>
                <w:rFonts w:ascii="宋体" w:cs="宋体"/>
                <w:kern w:val="0"/>
                <w:szCs w:val="21"/>
              </w:rPr>
            </w:pPr>
            <w:r>
              <w:rPr>
                <w:rFonts w:ascii="宋体" w:hAnsi="宋体" w:cs="宋体"/>
                <w:szCs w:val="18"/>
              </w:rPr>
              <w:t>E</w:t>
            </w:r>
            <w:r>
              <w:rPr>
                <w:rFonts w:hint="eastAsia" w:ascii="宋体" w:hAnsi="宋体" w:cs="宋体"/>
                <w:szCs w:val="18"/>
              </w:rPr>
              <w:t>、未达到设计标准，通行状况未改善</w:t>
            </w:r>
          </w:p>
        </w:tc>
        <w:tc>
          <w:tcPr>
            <w:tcW w:w="6660" w:type="dxa"/>
            <w:vAlign w:val="center"/>
          </w:tcPr>
          <w:p w14:paraId="505C95F6">
            <w:pPr>
              <w:widowControl/>
              <w:jc w:val="center"/>
              <w:rPr>
                <w:rFonts w:ascii="宋体" w:hAnsi="宋体" w:cs="宋体"/>
                <w:bCs/>
                <w:kern w:val="0"/>
                <w:szCs w:val="18"/>
              </w:rPr>
            </w:pPr>
            <w:r>
              <w:rPr>
                <w:rFonts w:ascii="宋体" w:hAnsi="宋体" w:cs="宋体"/>
                <w:bCs/>
                <w:kern w:val="0"/>
                <w:szCs w:val="18"/>
              </w:rPr>
              <w:t>5</w:t>
            </w:r>
          </w:p>
        </w:tc>
        <w:tc>
          <w:tcPr>
            <w:tcW w:w="6660" w:type="dxa"/>
            <w:vAlign w:val="center"/>
          </w:tcPr>
          <w:p w14:paraId="340B7ECB">
            <w:pPr>
              <w:widowControl/>
              <w:rPr>
                <w:rFonts w:ascii="宋体" w:cs="宋体"/>
                <w:kern w:val="0"/>
                <w:szCs w:val="18"/>
              </w:rPr>
            </w:pPr>
            <w:r>
              <w:rPr>
                <w:rFonts w:hint="eastAsia" w:ascii="宋体" w:hAnsi="宋体" w:cs="宋体"/>
                <w:kern w:val="0"/>
                <w:szCs w:val="18"/>
              </w:rPr>
              <w:t>通三级（含）以上公路的乡（镇）个数</w:t>
            </w:r>
            <w:r>
              <w:rPr>
                <w:rFonts w:ascii="宋体" w:hAnsi="宋体" w:cs="宋体"/>
                <w:kern w:val="0"/>
                <w:szCs w:val="18"/>
              </w:rPr>
              <w:t>/</w:t>
            </w:r>
            <w:r>
              <w:rPr>
                <w:rFonts w:hint="eastAsia" w:ascii="宋体" w:hAnsi="宋体" w:cs="宋体"/>
                <w:kern w:val="0"/>
                <w:szCs w:val="18"/>
              </w:rPr>
              <w:t>区域内乡镇总数</w:t>
            </w:r>
          </w:p>
          <w:p w14:paraId="2DA28741">
            <w:pPr>
              <w:widowControl/>
              <w:rPr>
                <w:rFonts w:ascii="宋体" w:cs="宋体"/>
                <w:szCs w:val="18"/>
              </w:rPr>
            </w:pPr>
            <w:r>
              <w:rPr>
                <w:rFonts w:ascii="宋体" w:hAnsi="宋体" w:cs="宋体"/>
                <w:szCs w:val="18"/>
              </w:rPr>
              <w:t>A</w:t>
            </w:r>
            <w:r>
              <w:rPr>
                <w:rFonts w:hint="eastAsia" w:ascii="宋体" w:hAnsi="宋体" w:cs="宋体"/>
                <w:szCs w:val="18"/>
              </w:rPr>
              <w:t>、达到计划要求</w:t>
            </w:r>
          </w:p>
          <w:p w14:paraId="3B7CE2B5">
            <w:pPr>
              <w:widowControl/>
              <w:rPr>
                <w:rFonts w:ascii="宋体" w:cs="宋体"/>
                <w:kern w:val="0"/>
                <w:szCs w:val="18"/>
              </w:rPr>
            </w:pPr>
            <w:r>
              <w:rPr>
                <w:rFonts w:ascii="宋体" w:hAnsi="宋体" w:cs="宋体"/>
                <w:szCs w:val="18"/>
              </w:rPr>
              <w:t>E</w:t>
            </w:r>
            <w:r>
              <w:rPr>
                <w:rFonts w:hint="eastAsia" w:ascii="宋体" w:hAnsi="宋体" w:cs="宋体"/>
                <w:szCs w:val="18"/>
              </w:rPr>
              <w:t>、未达到计划要求</w:t>
            </w:r>
          </w:p>
          <w:p w14:paraId="02A023D6">
            <w:pPr>
              <w:widowControl/>
              <w:rPr>
                <w:rFonts w:ascii="宋体" w:cs="宋体"/>
                <w:kern w:val="0"/>
                <w:szCs w:val="18"/>
              </w:rPr>
            </w:pPr>
          </w:p>
        </w:tc>
      </w:tr>
      <w:tr w14:paraId="2D35D5E8">
        <w:tblPrEx>
          <w:tblCellMar>
            <w:top w:w="0" w:type="dxa"/>
            <w:left w:w="108" w:type="dxa"/>
            <w:bottom w:w="0" w:type="dxa"/>
            <w:right w:w="108" w:type="dxa"/>
          </w:tblCellMar>
        </w:tblPrEx>
        <w:trPr>
          <w:trHeight w:val="340" w:hRule="atLeast"/>
        </w:trPr>
        <w:tc>
          <w:tcPr>
            <w:tcW w:w="1980" w:type="dxa"/>
            <w:tcBorders>
              <w:top w:val="single" w:color="auto" w:sz="4" w:space="0"/>
              <w:left w:val="single" w:color="auto" w:sz="4" w:space="0"/>
              <w:bottom w:val="single" w:color="auto" w:sz="4" w:space="0"/>
              <w:right w:val="single" w:color="auto" w:sz="4" w:space="0"/>
            </w:tcBorders>
            <w:vAlign w:val="center"/>
          </w:tcPr>
          <w:p w14:paraId="7D8C748C">
            <w:pPr>
              <w:jc w:val="center"/>
              <w:rPr>
                <w:rFonts w:ascii="宋体" w:cs="宋体"/>
                <w:bCs/>
                <w:kern w:val="0"/>
                <w:szCs w:val="21"/>
              </w:rPr>
            </w:pPr>
            <w:r>
              <w:rPr>
                <w:rFonts w:hint="eastAsia" w:ascii="宋体" w:hAnsi="宋体" w:cs="宋体"/>
                <w:kern w:val="0"/>
                <w:szCs w:val="18"/>
              </w:rPr>
              <w:t>通</w:t>
            </w:r>
            <w:r>
              <w:rPr>
                <w:rFonts w:ascii="宋体" w:hAnsi="宋体" w:cs="宋体"/>
                <w:kern w:val="0"/>
                <w:szCs w:val="18"/>
              </w:rPr>
              <w:t>2</w:t>
            </w:r>
            <w:r>
              <w:rPr>
                <w:rFonts w:hint="eastAsia" w:ascii="宋体" w:hAnsi="宋体" w:cs="宋体"/>
                <w:kern w:val="0"/>
                <w:szCs w:val="18"/>
              </w:rPr>
              <w:t>个（含）以上硬化出口的行政村比例</w:t>
            </w:r>
          </w:p>
        </w:tc>
        <w:tc>
          <w:tcPr>
            <w:tcW w:w="1080" w:type="dxa"/>
            <w:tcBorders>
              <w:top w:val="single" w:color="auto" w:sz="4" w:space="0"/>
              <w:left w:val="nil"/>
              <w:bottom w:val="single" w:color="auto" w:sz="4" w:space="0"/>
              <w:right w:val="single" w:color="auto" w:sz="4" w:space="0"/>
            </w:tcBorders>
            <w:vAlign w:val="center"/>
          </w:tcPr>
          <w:p w14:paraId="3B62F839">
            <w:pPr>
              <w:widowControl/>
              <w:jc w:val="center"/>
              <w:rPr>
                <w:rFonts w:ascii="宋体" w:hAnsi="宋体" w:cs="宋体"/>
                <w:bCs/>
                <w:kern w:val="0"/>
                <w:szCs w:val="18"/>
              </w:rPr>
            </w:pPr>
            <w:r>
              <w:rPr>
                <w:rFonts w:hint="eastAsia" w:ascii="宋体" w:hAnsi="宋体" w:cs="宋体"/>
                <w:bCs/>
                <w:kern w:val="0"/>
                <w:szCs w:val="18"/>
              </w:rPr>
              <w:t>10</w:t>
            </w:r>
          </w:p>
        </w:tc>
        <w:tc>
          <w:tcPr>
            <w:tcW w:w="6660" w:type="dxa"/>
            <w:tcBorders>
              <w:top w:val="nil"/>
              <w:left w:val="nil"/>
              <w:bottom w:val="single" w:color="auto" w:sz="4" w:space="0"/>
              <w:right w:val="single" w:color="auto" w:sz="4" w:space="0"/>
            </w:tcBorders>
            <w:vAlign w:val="center"/>
          </w:tcPr>
          <w:p w14:paraId="7A522C03">
            <w:pPr>
              <w:widowControl/>
              <w:rPr>
                <w:rFonts w:ascii="宋体" w:cs="宋体"/>
                <w:kern w:val="0"/>
                <w:szCs w:val="18"/>
              </w:rPr>
            </w:pPr>
            <w:r>
              <w:rPr>
                <w:rFonts w:hint="eastAsia" w:ascii="宋体" w:hAnsi="宋体" w:cs="宋体"/>
                <w:kern w:val="0"/>
                <w:szCs w:val="18"/>
              </w:rPr>
              <w:t>通</w:t>
            </w:r>
            <w:r>
              <w:rPr>
                <w:rFonts w:ascii="宋体" w:hAnsi="宋体" w:cs="宋体"/>
                <w:kern w:val="0"/>
                <w:szCs w:val="18"/>
              </w:rPr>
              <w:t>2</w:t>
            </w:r>
            <w:r>
              <w:rPr>
                <w:rFonts w:hint="eastAsia" w:ascii="宋体" w:hAnsi="宋体" w:cs="宋体"/>
                <w:kern w:val="0"/>
                <w:szCs w:val="18"/>
              </w:rPr>
              <w:t>个（含）以上硬化出口的行政村个数</w:t>
            </w:r>
            <w:r>
              <w:rPr>
                <w:rFonts w:ascii="宋体" w:hAnsi="宋体" w:cs="宋体"/>
                <w:kern w:val="0"/>
                <w:szCs w:val="18"/>
              </w:rPr>
              <w:t>/</w:t>
            </w:r>
            <w:r>
              <w:rPr>
                <w:rFonts w:hint="eastAsia" w:ascii="宋体" w:hAnsi="宋体" w:cs="宋体"/>
                <w:kern w:val="0"/>
                <w:szCs w:val="18"/>
              </w:rPr>
              <w:t>区域内行政村总数</w:t>
            </w:r>
          </w:p>
          <w:p w14:paraId="61DAD848">
            <w:pPr>
              <w:widowControl/>
              <w:rPr>
                <w:rFonts w:ascii="宋体" w:cs="宋体"/>
                <w:szCs w:val="18"/>
              </w:rPr>
            </w:pPr>
            <w:r>
              <w:rPr>
                <w:rFonts w:ascii="宋体" w:hAnsi="宋体" w:cs="宋体"/>
                <w:szCs w:val="18"/>
              </w:rPr>
              <w:t>A</w:t>
            </w:r>
            <w:r>
              <w:rPr>
                <w:rFonts w:hint="eastAsia" w:ascii="宋体" w:hAnsi="宋体" w:cs="宋体"/>
                <w:szCs w:val="18"/>
              </w:rPr>
              <w:t>、达到计划要求</w:t>
            </w:r>
          </w:p>
          <w:p w14:paraId="11B87AFC">
            <w:pPr>
              <w:widowControl/>
              <w:rPr>
                <w:rFonts w:ascii="宋体" w:cs="宋体"/>
                <w:kern w:val="0"/>
                <w:szCs w:val="21"/>
              </w:rPr>
            </w:pPr>
            <w:r>
              <w:rPr>
                <w:rFonts w:ascii="宋体" w:hAnsi="宋体" w:cs="宋体"/>
                <w:szCs w:val="18"/>
              </w:rPr>
              <w:t>E</w:t>
            </w:r>
            <w:r>
              <w:rPr>
                <w:rFonts w:hint="eastAsia" w:ascii="宋体" w:hAnsi="宋体" w:cs="宋体"/>
                <w:szCs w:val="18"/>
              </w:rPr>
              <w:t>、未达到计划要求</w:t>
            </w:r>
          </w:p>
        </w:tc>
        <w:tc>
          <w:tcPr>
            <w:tcW w:w="6660" w:type="dxa"/>
            <w:vAlign w:val="center"/>
          </w:tcPr>
          <w:p w14:paraId="14322F3C">
            <w:pPr>
              <w:widowControl/>
              <w:jc w:val="center"/>
              <w:rPr>
                <w:rFonts w:ascii="宋体" w:hAnsi="宋体" w:cs="宋体"/>
                <w:bCs/>
                <w:kern w:val="0"/>
                <w:szCs w:val="18"/>
              </w:rPr>
            </w:pPr>
            <w:r>
              <w:rPr>
                <w:rFonts w:ascii="宋体" w:hAnsi="宋体" w:cs="宋体"/>
                <w:bCs/>
                <w:kern w:val="0"/>
                <w:szCs w:val="18"/>
              </w:rPr>
              <w:t>5</w:t>
            </w:r>
          </w:p>
        </w:tc>
        <w:tc>
          <w:tcPr>
            <w:tcW w:w="6660" w:type="dxa"/>
            <w:vAlign w:val="center"/>
          </w:tcPr>
          <w:p w14:paraId="76887BB3">
            <w:pPr>
              <w:widowControl/>
              <w:rPr>
                <w:rFonts w:ascii="宋体" w:cs="宋体"/>
                <w:kern w:val="0"/>
                <w:szCs w:val="18"/>
              </w:rPr>
            </w:pPr>
            <w:r>
              <w:rPr>
                <w:rFonts w:hint="eastAsia" w:ascii="宋体" w:hAnsi="宋体" w:cs="宋体"/>
                <w:kern w:val="0"/>
                <w:szCs w:val="18"/>
              </w:rPr>
              <w:t>农村公路水泥、沥青路面里程</w:t>
            </w:r>
            <w:r>
              <w:rPr>
                <w:rFonts w:ascii="宋体" w:hAnsi="宋体" w:cs="宋体"/>
                <w:kern w:val="0"/>
                <w:szCs w:val="18"/>
              </w:rPr>
              <w:t>/</w:t>
            </w:r>
            <w:r>
              <w:rPr>
                <w:rFonts w:hint="eastAsia" w:ascii="宋体" w:hAnsi="宋体" w:cs="宋体"/>
                <w:kern w:val="0"/>
                <w:szCs w:val="18"/>
              </w:rPr>
              <w:t>区域内农村公路总里程</w:t>
            </w:r>
          </w:p>
          <w:p w14:paraId="3AA70AEB">
            <w:pPr>
              <w:widowControl/>
              <w:rPr>
                <w:rFonts w:ascii="宋体" w:cs="宋体"/>
                <w:szCs w:val="18"/>
              </w:rPr>
            </w:pPr>
            <w:r>
              <w:rPr>
                <w:rFonts w:ascii="宋体" w:hAnsi="宋体" w:cs="宋体"/>
                <w:szCs w:val="18"/>
              </w:rPr>
              <w:t>A</w:t>
            </w:r>
            <w:r>
              <w:rPr>
                <w:rFonts w:hint="eastAsia" w:ascii="宋体" w:hAnsi="宋体" w:cs="宋体"/>
                <w:szCs w:val="18"/>
              </w:rPr>
              <w:t>、达到计划要求</w:t>
            </w:r>
          </w:p>
          <w:p w14:paraId="51610C3C">
            <w:pPr>
              <w:widowControl/>
              <w:rPr>
                <w:rFonts w:ascii="宋体" w:cs="宋体"/>
                <w:kern w:val="0"/>
                <w:szCs w:val="18"/>
              </w:rPr>
            </w:pPr>
            <w:r>
              <w:rPr>
                <w:rFonts w:ascii="宋体" w:hAnsi="宋体" w:cs="宋体"/>
                <w:szCs w:val="18"/>
              </w:rPr>
              <w:t>E</w:t>
            </w:r>
            <w:r>
              <w:rPr>
                <w:rFonts w:hint="eastAsia" w:ascii="宋体" w:hAnsi="宋体" w:cs="宋体"/>
                <w:szCs w:val="18"/>
              </w:rPr>
              <w:t>、未达到计划要求</w:t>
            </w:r>
          </w:p>
        </w:tc>
      </w:tr>
      <w:tr w14:paraId="7A7CD367">
        <w:tblPrEx>
          <w:tblCellMar>
            <w:top w:w="0" w:type="dxa"/>
            <w:left w:w="108" w:type="dxa"/>
            <w:bottom w:w="0" w:type="dxa"/>
            <w:right w:w="108" w:type="dxa"/>
          </w:tblCellMar>
        </w:tblPrEx>
        <w:trPr>
          <w:trHeight w:val="1231" w:hRule="exact"/>
        </w:trPr>
        <w:tc>
          <w:tcPr>
            <w:tcW w:w="1980" w:type="dxa"/>
            <w:tcBorders>
              <w:top w:val="single" w:color="auto" w:sz="4" w:space="0"/>
              <w:left w:val="single" w:color="auto" w:sz="4" w:space="0"/>
              <w:bottom w:val="single" w:color="auto" w:sz="4" w:space="0"/>
              <w:right w:val="single" w:color="auto" w:sz="4" w:space="0"/>
            </w:tcBorders>
            <w:vAlign w:val="center"/>
          </w:tcPr>
          <w:p w14:paraId="3FAC8371">
            <w:pPr>
              <w:widowControl/>
              <w:jc w:val="center"/>
              <w:rPr>
                <w:rFonts w:ascii="宋体" w:cs="宋体"/>
                <w:kern w:val="0"/>
                <w:szCs w:val="21"/>
              </w:rPr>
            </w:pPr>
            <w:r>
              <w:rPr>
                <w:rFonts w:hint="eastAsia" w:ascii="宋体" w:hAnsi="宋体" w:cs="宋体"/>
                <w:kern w:val="0"/>
                <w:szCs w:val="18"/>
              </w:rPr>
              <w:t>农村公路水泥、沥青路面铺装率</w:t>
            </w:r>
          </w:p>
        </w:tc>
        <w:tc>
          <w:tcPr>
            <w:tcW w:w="1080" w:type="dxa"/>
            <w:tcBorders>
              <w:top w:val="single" w:color="auto" w:sz="4" w:space="0"/>
              <w:left w:val="nil"/>
              <w:bottom w:val="single" w:color="auto" w:sz="4" w:space="0"/>
              <w:right w:val="single" w:color="auto" w:sz="4" w:space="0"/>
            </w:tcBorders>
            <w:vAlign w:val="center"/>
          </w:tcPr>
          <w:p w14:paraId="323F553F">
            <w:pPr>
              <w:widowControl/>
              <w:jc w:val="center"/>
              <w:rPr>
                <w:rFonts w:ascii="宋体" w:hAnsi="宋体" w:cs="宋体"/>
                <w:bCs/>
                <w:kern w:val="0"/>
                <w:szCs w:val="18"/>
              </w:rPr>
            </w:pPr>
            <w:r>
              <w:rPr>
                <w:rFonts w:hint="eastAsia" w:ascii="宋体" w:hAnsi="宋体" w:cs="宋体"/>
                <w:bCs/>
                <w:kern w:val="0"/>
                <w:szCs w:val="18"/>
              </w:rPr>
              <w:t>10</w:t>
            </w:r>
          </w:p>
        </w:tc>
        <w:tc>
          <w:tcPr>
            <w:tcW w:w="6660" w:type="dxa"/>
            <w:tcBorders>
              <w:top w:val="single" w:color="auto" w:sz="4" w:space="0"/>
              <w:left w:val="nil"/>
              <w:bottom w:val="single" w:color="auto" w:sz="4" w:space="0"/>
              <w:right w:val="single" w:color="auto" w:sz="4" w:space="0"/>
            </w:tcBorders>
            <w:vAlign w:val="center"/>
          </w:tcPr>
          <w:p w14:paraId="5BA67069">
            <w:pPr>
              <w:widowControl/>
              <w:rPr>
                <w:rFonts w:ascii="宋体" w:cs="宋体"/>
                <w:kern w:val="0"/>
                <w:szCs w:val="18"/>
              </w:rPr>
            </w:pPr>
            <w:r>
              <w:rPr>
                <w:rFonts w:hint="eastAsia" w:ascii="宋体" w:hAnsi="宋体" w:cs="宋体"/>
                <w:kern w:val="0"/>
                <w:szCs w:val="18"/>
              </w:rPr>
              <w:t>农村公路水泥、沥青路面里程</w:t>
            </w:r>
            <w:r>
              <w:rPr>
                <w:rFonts w:ascii="宋体" w:hAnsi="宋体" w:cs="宋体"/>
                <w:kern w:val="0"/>
                <w:szCs w:val="18"/>
              </w:rPr>
              <w:t>/</w:t>
            </w:r>
            <w:r>
              <w:rPr>
                <w:rFonts w:hint="eastAsia" w:ascii="宋体" w:hAnsi="宋体" w:cs="宋体"/>
                <w:kern w:val="0"/>
                <w:szCs w:val="18"/>
              </w:rPr>
              <w:t>区域内农村公路总里程</w:t>
            </w:r>
          </w:p>
          <w:p w14:paraId="785AD654">
            <w:pPr>
              <w:widowControl/>
              <w:rPr>
                <w:rFonts w:ascii="宋体" w:cs="宋体"/>
                <w:szCs w:val="18"/>
              </w:rPr>
            </w:pPr>
            <w:r>
              <w:rPr>
                <w:rFonts w:ascii="宋体" w:hAnsi="宋体" w:cs="宋体"/>
                <w:szCs w:val="18"/>
              </w:rPr>
              <w:t>A</w:t>
            </w:r>
            <w:r>
              <w:rPr>
                <w:rFonts w:hint="eastAsia" w:ascii="宋体" w:hAnsi="宋体" w:cs="宋体"/>
                <w:szCs w:val="18"/>
              </w:rPr>
              <w:t>、达到计划要求</w:t>
            </w:r>
          </w:p>
          <w:p w14:paraId="0BFD4117">
            <w:pPr>
              <w:widowControl/>
              <w:rPr>
                <w:rFonts w:ascii="宋体" w:cs="宋体"/>
                <w:kern w:val="0"/>
                <w:szCs w:val="18"/>
              </w:rPr>
            </w:pPr>
            <w:r>
              <w:rPr>
                <w:rFonts w:ascii="宋体" w:hAnsi="宋体" w:cs="宋体"/>
                <w:szCs w:val="18"/>
              </w:rPr>
              <w:t>E</w:t>
            </w:r>
            <w:r>
              <w:rPr>
                <w:rFonts w:hint="eastAsia" w:ascii="宋体" w:hAnsi="宋体" w:cs="宋体"/>
                <w:szCs w:val="18"/>
              </w:rPr>
              <w:t>、未达到计划要求</w:t>
            </w:r>
          </w:p>
        </w:tc>
        <w:tc>
          <w:tcPr>
            <w:tcW w:w="6660" w:type="dxa"/>
            <w:vAlign w:val="center"/>
          </w:tcPr>
          <w:p w14:paraId="689EE5C3">
            <w:pPr>
              <w:widowControl/>
              <w:jc w:val="center"/>
              <w:rPr>
                <w:rFonts w:ascii="宋体" w:hAnsi="宋体" w:cs="宋体"/>
                <w:bCs/>
                <w:kern w:val="0"/>
                <w:szCs w:val="18"/>
              </w:rPr>
            </w:pPr>
            <w:r>
              <w:rPr>
                <w:rFonts w:ascii="宋体" w:hAnsi="宋体" w:cs="宋体"/>
                <w:bCs/>
                <w:kern w:val="0"/>
                <w:szCs w:val="18"/>
              </w:rPr>
              <w:t>5</w:t>
            </w:r>
          </w:p>
        </w:tc>
        <w:tc>
          <w:tcPr>
            <w:tcW w:w="6660" w:type="dxa"/>
            <w:vAlign w:val="center"/>
          </w:tcPr>
          <w:p w14:paraId="04EB6F71">
            <w:pPr>
              <w:widowControl/>
              <w:rPr>
                <w:rFonts w:ascii="宋体" w:cs="宋体"/>
                <w:szCs w:val="18"/>
              </w:rPr>
            </w:pPr>
            <w:r>
              <w:rPr>
                <w:rFonts w:hint="eastAsia" w:ascii="宋体" w:hAnsi="宋体" w:cs="宋体"/>
                <w:szCs w:val="18"/>
              </w:rPr>
              <w:t>项目实施后</w:t>
            </w:r>
            <w:r>
              <w:rPr>
                <w:rFonts w:hint="eastAsia" w:ascii="宋体" w:hAnsi="宋体" w:cs="宋体"/>
                <w:kern w:val="0"/>
                <w:szCs w:val="18"/>
              </w:rPr>
              <w:t>平均日交通量</w:t>
            </w:r>
            <w:r>
              <w:rPr>
                <w:rFonts w:hint="eastAsia" w:ascii="宋体" w:hAnsi="宋体" w:cs="宋体"/>
                <w:szCs w:val="18"/>
              </w:rPr>
              <w:t>≤设计标准得满分，否则酌情扣分。</w:t>
            </w:r>
          </w:p>
          <w:p w14:paraId="3571753F">
            <w:pPr>
              <w:widowControl/>
              <w:rPr>
                <w:rFonts w:ascii="宋体" w:cs="宋体"/>
                <w:szCs w:val="18"/>
              </w:rPr>
            </w:pPr>
            <w:r>
              <w:rPr>
                <w:rFonts w:ascii="宋体" w:hAnsi="宋体" w:cs="宋体"/>
                <w:szCs w:val="18"/>
              </w:rPr>
              <w:t>A</w:t>
            </w:r>
            <w:r>
              <w:rPr>
                <w:rFonts w:hint="eastAsia" w:ascii="宋体" w:hAnsi="宋体" w:cs="宋体"/>
                <w:szCs w:val="18"/>
              </w:rPr>
              <w:t>、项目实施后</w:t>
            </w:r>
            <w:r>
              <w:rPr>
                <w:rFonts w:hint="eastAsia" w:ascii="宋体" w:hAnsi="宋体" w:cs="宋体"/>
                <w:kern w:val="0"/>
                <w:szCs w:val="18"/>
              </w:rPr>
              <w:t>平均日交通量</w:t>
            </w:r>
            <w:r>
              <w:rPr>
                <w:rFonts w:hint="eastAsia" w:ascii="宋体" w:hAnsi="宋体" w:cs="宋体"/>
                <w:szCs w:val="18"/>
              </w:rPr>
              <w:t>≤设计标准</w:t>
            </w:r>
          </w:p>
          <w:p w14:paraId="763C0109">
            <w:pPr>
              <w:widowControl/>
              <w:rPr>
                <w:rFonts w:ascii="宋体" w:cs="宋体"/>
                <w:szCs w:val="18"/>
              </w:rPr>
            </w:pPr>
            <w:r>
              <w:rPr>
                <w:rFonts w:ascii="宋体" w:hAnsi="宋体" w:cs="宋体"/>
                <w:szCs w:val="18"/>
              </w:rPr>
              <w:t>E</w:t>
            </w:r>
            <w:r>
              <w:rPr>
                <w:rFonts w:hint="eastAsia" w:ascii="宋体" w:hAnsi="宋体" w:cs="宋体"/>
                <w:szCs w:val="18"/>
              </w:rPr>
              <w:t>、项目实施后</w:t>
            </w:r>
            <w:r>
              <w:rPr>
                <w:rFonts w:hint="eastAsia" w:ascii="宋体" w:hAnsi="宋体" w:cs="宋体"/>
                <w:kern w:val="0"/>
                <w:szCs w:val="18"/>
              </w:rPr>
              <w:t>平均日交通量</w:t>
            </w:r>
            <w:r>
              <w:rPr>
                <w:rFonts w:ascii="宋体" w:hAnsi="宋体" w:cs="宋体"/>
                <w:kern w:val="0"/>
                <w:szCs w:val="18"/>
              </w:rPr>
              <w:t>&gt;</w:t>
            </w:r>
            <w:r>
              <w:rPr>
                <w:rFonts w:hint="eastAsia" w:ascii="宋体" w:hAnsi="宋体" w:cs="宋体"/>
                <w:szCs w:val="18"/>
              </w:rPr>
              <w:t>设计标准</w:t>
            </w:r>
          </w:p>
        </w:tc>
      </w:tr>
      <w:tr w14:paraId="34ECADE3">
        <w:tblPrEx>
          <w:tblCellMar>
            <w:top w:w="0" w:type="dxa"/>
            <w:left w:w="108" w:type="dxa"/>
            <w:bottom w:w="0" w:type="dxa"/>
            <w:right w:w="108" w:type="dxa"/>
          </w:tblCellMar>
        </w:tblPrEx>
        <w:trPr>
          <w:gridAfter w:val="2"/>
          <w:wAfter w:w="13320" w:type="dxa"/>
          <w:trHeight w:val="870" w:hRule="atLeast"/>
        </w:trPr>
        <w:tc>
          <w:tcPr>
            <w:tcW w:w="1980" w:type="dxa"/>
            <w:tcBorders>
              <w:top w:val="single" w:color="auto" w:sz="4" w:space="0"/>
              <w:left w:val="single" w:color="auto" w:sz="4" w:space="0"/>
              <w:bottom w:val="single" w:color="auto" w:sz="4" w:space="0"/>
              <w:right w:val="single" w:color="auto" w:sz="4" w:space="0"/>
            </w:tcBorders>
            <w:vAlign w:val="center"/>
          </w:tcPr>
          <w:p w14:paraId="54D45E3C">
            <w:pPr>
              <w:widowControl/>
              <w:jc w:val="center"/>
              <w:rPr>
                <w:rFonts w:ascii="宋体" w:cs="宋体"/>
                <w:bCs/>
                <w:kern w:val="0"/>
                <w:szCs w:val="21"/>
              </w:rPr>
            </w:pPr>
            <w:r>
              <w:rPr>
                <w:rFonts w:hint="eastAsia" w:ascii="宋体" w:hAnsi="宋体" w:cs="宋体"/>
                <w:bCs/>
                <w:kern w:val="0"/>
                <w:szCs w:val="21"/>
              </w:rPr>
              <w:t>对地区经济的贡献</w:t>
            </w:r>
          </w:p>
        </w:tc>
        <w:tc>
          <w:tcPr>
            <w:tcW w:w="1080" w:type="dxa"/>
            <w:tcBorders>
              <w:top w:val="single" w:color="auto" w:sz="4" w:space="0"/>
              <w:left w:val="nil"/>
              <w:bottom w:val="single" w:color="auto" w:sz="4" w:space="0"/>
              <w:right w:val="single" w:color="auto" w:sz="4" w:space="0"/>
            </w:tcBorders>
            <w:vAlign w:val="center"/>
          </w:tcPr>
          <w:p w14:paraId="3AAB9D19">
            <w:pPr>
              <w:widowControl/>
              <w:jc w:val="center"/>
              <w:rPr>
                <w:rFonts w:ascii="宋体" w:hAnsi="宋体" w:cs="宋体"/>
                <w:bCs/>
                <w:kern w:val="0"/>
                <w:szCs w:val="18"/>
              </w:rPr>
            </w:pPr>
            <w:r>
              <w:rPr>
                <w:rFonts w:ascii="宋体" w:hAnsi="宋体" w:cs="宋体"/>
                <w:bCs/>
                <w:kern w:val="0"/>
                <w:szCs w:val="18"/>
              </w:rPr>
              <w:t>10</w:t>
            </w:r>
          </w:p>
        </w:tc>
        <w:tc>
          <w:tcPr>
            <w:tcW w:w="6660" w:type="dxa"/>
            <w:tcBorders>
              <w:top w:val="single" w:color="auto" w:sz="4" w:space="0"/>
              <w:left w:val="nil"/>
              <w:bottom w:val="single" w:color="auto" w:sz="4" w:space="0"/>
              <w:right w:val="single" w:color="auto" w:sz="4" w:space="0"/>
            </w:tcBorders>
            <w:vAlign w:val="center"/>
          </w:tcPr>
          <w:p w14:paraId="00018E78">
            <w:pPr>
              <w:rPr>
                <w:rFonts w:ascii="宋体" w:cs="宋体"/>
                <w:szCs w:val="18"/>
              </w:rPr>
            </w:pPr>
            <w:r>
              <w:rPr>
                <w:rFonts w:hint="eastAsia" w:ascii="宋体" w:hAnsi="宋体" w:cs="宋体"/>
                <w:bCs/>
                <w:szCs w:val="18"/>
              </w:rPr>
              <w:t>公路对地区经济的贡献</w:t>
            </w:r>
            <w:r>
              <w:rPr>
                <w:rFonts w:hint="eastAsia" w:ascii="宋体" w:hAnsi="宋体" w:cs="宋体"/>
                <w:szCs w:val="18"/>
              </w:rPr>
              <w:t>主要为</w:t>
            </w:r>
            <w:r>
              <w:rPr>
                <w:rFonts w:ascii="宋体" w:hAnsi="宋体" w:cs="宋体"/>
                <w:szCs w:val="18"/>
              </w:rPr>
              <w:t>:</w:t>
            </w:r>
            <w:r>
              <w:rPr>
                <w:rFonts w:hint="eastAsia" w:ascii="宋体" w:hAnsi="宋体" w:cs="宋体"/>
                <w:szCs w:val="18"/>
              </w:rPr>
              <w:t>一是在公路建设中拉动地区经济发展</w:t>
            </w:r>
            <w:r>
              <w:rPr>
                <w:rFonts w:ascii="宋体" w:hAnsi="宋体" w:cs="宋体"/>
                <w:szCs w:val="18"/>
              </w:rPr>
              <w:t>;</w:t>
            </w:r>
            <w:r>
              <w:rPr>
                <w:rFonts w:hint="eastAsia" w:ascii="宋体" w:hAnsi="宋体" w:cs="宋体"/>
                <w:szCs w:val="18"/>
              </w:rPr>
              <w:t>二是公路建成运营后</w:t>
            </w:r>
            <w:r>
              <w:rPr>
                <w:rFonts w:ascii="宋体" w:cs="宋体"/>
                <w:szCs w:val="18"/>
              </w:rPr>
              <w:t>,</w:t>
            </w:r>
            <w:r>
              <w:rPr>
                <w:rFonts w:hint="eastAsia" w:ascii="宋体" w:hAnsi="宋体" w:cs="宋体"/>
                <w:szCs w:val="18"/>
              </w:rPr>
              <w:t>公路运营所创造的价值</w:t>
            </w:r>
            <w:r>
              <w:rPr>
                <w:rFonts w:ascii="宋体" w:hAnsi="宋体" w:cs="宋体"/>
                <w:szCs w:val="18"/>
              </w:rPr>
              <w:t>;</w:t>
            </w:r>
            <w:r>
              <w:rPr>
                <w:rFonts w:hint="eastAsia" w:ascii="宋体" w:hAnsi="宋体" w:cs="宋体"/>
                <w:szCs w:val="18"/>
              </w:rPr>
              <w:t>三是公路沿线乡镇与外界的交流情况。</w:t>
            </w:r>
          </w:p>
          <w:p w14:paraId="11C756DA">
            <w:pPr>
              <w:widowControl/>
              <w:rPr>
                <w:rFonts w:ascii="宋体" w:cs="宋体"/>
                <w:szCs w:val="18"/>
              </w:rPr>
            </w:pPr>
            <w:r>
              <w:rPr>
                <w:rFonts w:ascii="宋体" w:hAnsi="宋体" w:cs="宋体"/>
                <w:szCs w:val="18"/>
              </w:rPr>
              <w:t>A</w:t>
            </w:r>
            <w:r>
              <w:rPr>
                <w:rFonts w:hint="eastAsia" w:ascii="宋体" w:hAnsi="宋体" w:cs="宋体"/>
                <w:szCs w:val="18"/>
              </w:rPr>
              <w:t>、三项都具备为影响大，</w:t>
            </w:r>
          </w:p>
          <w:p w14:paraId="3B98B361">
            <w:pPr>
              <w:widowControl/>
              <w:rPr>
                <w:rFonts w:ascii="宋体" w:cs="宋体"/>
                <w:szCs w:val="18"/>
              </w:rPr>
            </w:pPr>
            <w:r>
              <w:rPr>
                <w:rFonts w:ascii="宋体" w:hAnsi="宋体" w:cs="宋体"/>
                <w:szCs w:val="18"/>
              </w:rPr>
              <w:t>B</w:t>
            </w:r>
            <w:r>
              <w:rPr>
                <w:rFonts w:hint="eastAsia" w:ascii="宋体" w:hAnsi="宋体" w:cs="宋体"/>
                <w:szCs w:val="18"/>
              </w:rPr>
              <w:t>、具备其中二项为较大，</w:t>
            </w:r>
          </w:p>
          <w:p w14:paraId="07CAB6C8">
            <w:pPr>
              <w:widowControl/>
              <w:rPr>
                <w:rFonts w:ascii="宋体" w:cs="宋体"/>
                <w:szCs w:val="18"/>
              </w:rPr>
            </w:pPr>
            <w:r>
              <w:rPr>
                <w:rFonts w:ascii="宋体" w:hAnsi="宋体" w:cs="宋体"/>
                <w:szCs w:val="18"/>
              </w:rPr>
              <w:t>C</w:t>
            </w:r>
            <w:r>
              <w:rPr>
                <w:rFonts w:hint="eastAsia" w:ascii="宋体" w:hAnsi="宋体" w:cs="宋体"/>
                <w:szCs w:val="18"/>
              </w:rPr>
              <w:t>、具备其中一项为一般，</w:t>
            </w:r>
          </w:p>
          <w:p w14:paraId="334504E2">
            <w:pPr>
              <w:widowControl/>
              <w:rPr>
                <w:rFonts w:ascii="宋体" w:cs="宋体"/>
                <w:szCs w:val="18"/>
              </w:rPr>
            </w:pPr>
            <w:r>
              <w:rPr>
                <w:rFonts w:ascii="宋体" w:hAnsi="宋体" w:cs="宋体"/>
                <w:szCs w:val="18"/>
              </w:rPr>
              <w:t>E</w:t>
            </w:r>
            <w:r>
              <w:rPr>
                <w:rFonts w:hint="eastAsia" w:ascii="宋体" w:hAnsi="宋体" w:cs="宋体"/>
                <w:szCs w:val="18"/>
              </w:rPr>
              <w:t>、一项也不具备为无影响。</w:t>
            </w:r>
          </w:p>
        </w:tc>
      </w:tr>
    </w:tbl>
    <w:p w14:paraId="741ED07E">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3、公众满意度（10）</w:t>
      </w:r>
    </w:p>
    <w:tbl>
      <w:tblPr>
        <w:tblStyle w:val="7"/>
        <w:tblpPr w:leftFromText="180" w:rightFromText="180" w:vertAnchor="text" w:horzAnchor="page" w:tblpX="1519" w:tblpY="63"/>
        <w:tblOverlap w:val="never"/>
        <w:tblW w:w="9720" w:type="dxa"/>
        <w:tblInd w:w="0" w:type="dxa"/>
        <w:tblLayout w:type="fixed"/>
        <w:tblCellMar>
          <w:top w:w="0" w:type="dxa"/>
          <w:left w:w="108" w:type="dxa"/>
          <w:bottom w:w="0" w:type="dxa"/>
          <w:right w:w="108" w:type="dxa"/>
        </w:tblCellMar>
      </w:tblPr>
      <w:tblGrid>
        <w:gridCol w:w="1980"/>
        <w:gridCol w:w="1080"/>
        <w:gridCol w:w="6660"/>
      </w:tblGrid>
      <w:tr w14:paraId="15CDFE22">
        <w:tblPrEx>
          <w:tblCellMar>
            <w:top w:w="0" w:type="dxa"/>
            <w:left w:w="108" w:type="dxa"/>
            <w:bottom w:w="0" w:type="dxa"/>
            <w:right w:w="108" w:type="dxa"/>
          </w:tblCellMar>
        </w:tblPrEx>
        <w:trPr>
          <w:trHeight w:val="762" w:hRule="atLeast"/>
        </w:trPr>
        <w:tc>
          <w:tcPr>
            <w:tcW w:w="1980" w:type="dxa"/>
            <w:tcBorders>
              <w:top w:val="single" w:color="auto" w:sz="4" w:space="0"/>
              <w:left w:val="single" w:color="auto" w:sz="4" w:space="0"/>
              <w:bottom w:val="single" w:color="auto" w:sz="4" w:space="0"/>
              <w:right w:val="single" w:color="auto" w:sz="4" w:space="0"/>
            </w:tcBorders>
            <w:vAlign w:val="center"/>
          </w:tcPr>
          <w:p w14:paraId="483A7E0E">
            <w:pPr>
              <w:jc w:val="center"/>
              <w:rPr>
                <w:rFonts w:ascii="宋体" w:cs="宋体"/>
                <w:bCs/>
                <w:kern w:val="0"/>
                <w:szCs w:val="21"/>
              </w:rPr>
            </w:pPr>
            <w:r>
              <w:rPr>
                <w:rFonts w:hint="eastAsia" w:ascii="宋体" w:hAnsi="宋体" w:cs="宋体"/>
                <w:bCs/>
                <w:kern w:val="0"/>
                <w:szCs w:val="21"/>
              </w:rPr>
              <w:t>公众满意度（附调查问卷模板）</w:t>
            </w:r>
          </w:p>
        </w:tc>
        <w:tc>
          <w:tcPr>
            <w:tcW w:w="1080" w:type="dxa"/>
            <w:tcBorders>
              <w:top w:val="single" w:color="auto" w:sz="4" w:space="0"/>
              <w:left w:val="nil"/>
              <w:bottom w:val="single" w:color="auto" w:sz="4" w:space="0"/>
              <w:right w:val="single" w:color="auto" w:sz="4" w:space="0"/>
            </w:tcBorders>
            <w:vAlign w:val="center"/>
          </w:tcPr>
          <w:p w14:paraId="00795E6A">
            <w:pPr>
              <w:widowControl/>
              <w:jc w:val="center"/>
              <w:rPr>
                <w:rFonts w:ascii="宋体" w:cs="宋体"/>
                <w:bCs/>
                <w:kern w:val="0"/>
                <w:szCs w:val="18"/>
              </w:rPr>
            </w:pPr>
            <w:r>
              <w:rPr>
                <w:rFonts w:ascii="宋体" w:hAnsi="宋体" w:cs="宋体"/>
                <w:bCs/>
                <w:kern w:val="0"/>
                <w:szCs w:val="18"/>
              </w:rPr>
              <w:t>10</w:t>
            </w:r>
            <w:r>
              <w:rPr>
                <w:rFonts w:hint="eastAsia" w:ascii="宋体" w:hAnsi="宋体" w:cs="宋体"/>
                <w:bCs/>
                <w:kern w:val="0"/>
                <w:szCs w:val="18"/>
              </w:rPr>
              <w:t>　</w:t>
            </w:r>
          </w:p>
        </w:tc>
        <w:tc>
          <w:tcPr>
            <w:tcW w:w="6660" w:type="dxa"/>
            <w:tcBorders>
              <w:top w:val="single" w:color="auto" w:sz="4" w:space="0"/>
              <w:left w:val="nil"/>
              <w:bottom w:val="single" w:color="auto" w:sz="4" w:space="0"/>
              <w:right w:val="single" w:color="auto" w:sz="4" w:space="0"/>
            </w:tcBorders>
            <w:vAlign w:val="center"/>
          </w:tcPr>
          <w:p w14:paraId="5B37FA96">
            <w:pPr>
              <w:rPr>
                <w:rFonts w:ascii="宋体" w:cs="宋体"/>
                <w:szCs w:val="18"/>
              </w:rPr>
            </w:pPr>
            <w:r>
              <w:rPr>
                <w:rFonts w:hint="eastAsia" w:ascii="宋体" w:hAnsi="宋体" w:cs="宋体"/>
                <w:szCs w:val="18"/>
              </w:rPr>
              <w:t>该指标用于衡量公众对该项目实施的满意程度。需要通过对政府部门、公路周边群众和司乘人员三类人群进行抽样问卷调查来得出公众对项目实施的满意程度（不少于三份问卷），将其汇总后算术平均即可得到该指标评分。</w:t>
            </w:r>
          </w:p>
          <w:p w14:paraId="77FCE259">
            <w:pPr>
              <w:widowControl/>
              <w:rPr>
                <w:rFonts w:ascii="宋体" w:cs="宋体"/>
                <w:szCs w:val="18"/>
              </w:rPr>
            </w:pPr>
            <w:r>
              <w:rPr>
                <w:rFonts w:ascii="宋体" w:hAnsi="宋体" w:cs="宋体"/>
                <w:szCs w:val="18"/>
              </w:rPr>
              <w:t>A</w:t>
            </w:r>
            <w:r>
              <w:rPr>
                <w:rFonts w:hint="eastAsia" w:ascii="宋体" w:hAnsi="宋体" w:cs="宋体"/>
                <w:szCs w:val="18"/>
              </w:rPr>
              <w:t>、</w:t>
            </w:r>
            <w:r>
              <w:rPr>
                <w:rFonts w:hint="eastAsia" w:ascii="宋体" w:hAnsi="宋体" w:cs="宋体"/>
                <w:bCs/>
                <w:kern w:val="0"/>
                <w:szCs w:val="21"/>
              </w:rPr>
              <w:t>公众满意度</w:t>
            </w:r>
            <w:r>
              <w:rPr>
                <w:rFonts w:hint="eastAsia" w:ascii="宋体" w:hAnsi="宋体" w:cs="宋体"/>
                <w:szCs w:val="18"/>
              </w:rPr>
              <w:t>≥</w:t>
            </w:r>
            <w:r>
              <w:rPr>
                <w:rFonts w:ascii="宋体" w:hAnsi="宋体" w:cs="宋体"/>
                <w:szCs w:val="18"/>
              </w:rPr>
              <w:t>80</w:t>
            </w:r>
            <w:r>
              <w:rPr>
                <w:rFonts w:hint="eastAsia" w:ascii="宋体" w:hAnsi="宋体" w:cs="宋体"/>
                <w:szCs w:val="18"/>
              </w:rPr>
              <w:t>分</w:t>
            </w:r>
          </w:p>
          <w:p w14:paraId="0EA75EE8">
            <w:pPr>
              <w:widowControl/>
              <w:rPr>
                <w:rFonts w:ascii="宋体" w:cs="宋体"/>
                <w:szCs w:val="18"/>
              </w:rPr>
            </w:pPr>
            <w:r>
              <w:rPr>
                <w:rFonts w:ascii="宋体" w:hAnsi="宋体" w:cs="宋体"/>
                <w:szCs w:val="18"/>
              </w:rPr>
              <w:t>B</w:t>
            </w:r>
            <w:r>
              <w:rPr>
                <w:rFonts w:hint="eastAsia" w:ascii="宋体" w:hAnsi="宋体" w:cs="宋体"/>
                <w:szCs w:val="18"/>
              </w:rPr>
              <w:t>、</w:t>
            </w:r>
            <w:r>
              <w:rPr>
                <w:rFonts w:hint="eastAsia" w:ascii="宋体" w:hAnsi="宋体" w:cs="宋体"/>
                <w:bCs/>
                <w:kern w:val="0"/>
                <w:szCs w:val="21"/>
              </w:rPr>
              <w:t>公众满意度</w:t>
            </w:r>
            <w:r>
              <w:rPr>
                <w:rFonts w:ascii="宋体" w:hAnsi="宋体" w:cs="宋体"/>
                <w:szCs w:val="18"/>
              </w:rPr>
              <w:t>60</w:t>
            </w:r>
            <w:r>
              <w:rPr>
                <w:rFonts w:hint="eastAsia" w:ascii="宋体" w:hAnsi="宋体" w:cs="宋体"/>
                <w:szCs w:val="18"/>
              </w:rPr>
              <w:t>分～</w:t>
            </w:r>
            <w:r>
              <w:rPr>
                <w:rFonts w:ascii="宋体" w:hAnsi="宋体" w:cs="宋体"/>
                <w:szCs w:val="18"/>
              </w:rPr>
              <w:t>79</w:t>
            </w:r>
            <w:r>
              <w:rPr>
                <w:rFonts w:hint="eastAsia" w:ascii="宋体" w:hAnsi="宋体" w:cs="宋体"/>
                <w:szCs w:val="18"/>
              </w:rPr>
              <w:t>分</w:t>
            </w:r>
          </w:p>
          <w:p w14:paraId="6C46B953">
            <w:pPr>
              <w:rPr>
                <w:rFonts w:ascii="宋体" w:cs="宋体"/>
                <w:bCs/>
                <w:kern w:val="0"/>
                <w:szCs w:val="21"/>
              </w:rPr>
            </w:pPr>
            <w:r>
              <w:rPr>
                <w:rFonts w:ascii="宋体" w:hAnsi="宋体" w:cs="宋体"/>
                <w:szCs w:val="18"/>
              </w:rPr>
              <w:t>E</w:t>
            </w:r>
            <w:r>
              <w:rPr>
                <w:rFonts w:hint="eastAsia" w:ascii="宋体" w:hAnsi="宋体" w:cs="宋体"/>
                <w:szCs w:val="18"/>
              </w:rPr>
              <w:t>、</w:t>
            </w:r>
            <w:r>
              <w:rPr>
                <w:rFonts w:hint="eastAsia" w:ascii="宋体" w:hAnsi="宋体" w:cs="宋体"/>
                <w:bCs/>
                <w:kern w:val="0"/>
                <w:szCs w:val="21"/>
              </w:rPr>
              <w:t>公众满意度</w:t>
            </w:r>
            <w:r>
              <w:rPr>
                <w:rFonts w:ascii="宋体" w:hAnsi="宋体" w:cs="宋体"/>
                <w:szCs w:val="18"/>
              </w:rPr>
              <w:t>60</w:t>
            </w:r>
            <w:r>
              <w:rPr>
                <w:rFonts w:hint="eastAsia" w:ascii="宋体" w:hAnsi="宋体" w:cs="宋体"/>
                <w:szCs w:val="18"/>
              </w:rPr>
              <w:t>分</w:t>
            </w:r>
          </w:p>
        </w:tc>
      </w:tr>
    </w:tbl>
    <w:p w14:paraId="0C39D387">
      <w:pPr>
        <w:spacing w:line="360" w:lineRule="auto"/>
        <w:ind w:firstLine="642"/>
        <w:rPr>
          <w:rFonts w:ascii="仿宋_GB2312" w:hAnsi="宋体" w:eastAsia="仿宋_GB2312"/>
          <w:color w:val="000000"/>
          <w:sz w:val="32"/>
          <w:szCs w:val="32"/>
        </w:rPr>
      </w:pPr>
      <w:r>
        <w:rPr>
          <w:rFonts w:hint="eastAsia" w:ascii="仿宋_GB2312" w:hAnsi="宋体" w:eastAsia="仿宋_GB2312"/>
          <w:color w:val="000000"/>
          <w:sz w:val="32"/>
          <w:szCs w:val="32"/>
        </w:rPr>
        <w:t>4、预算执行率（10分）</w:t>
      </w:r>
    </w:p>
    <w:p w14:paraId="48ADCCA5">
      <w:pPr>
        <w:spacing w:line="360" w:lineRule="auto"/>
        <w:ind w:firstLine="642"/>
        <w:rPr>
          <w:rFonts w:ascii="宋体" w:hAnsi="宋体" w:cs="宋体"/>
          <w:bCs/>
          <w:kern w:val="0"/>
          <w:szCs w:val="21"/>
        </w:rPr>
      </w:pPr>
      <w:r>
        <w:rPr>
          <w:rFonts w:hint="eastAsia" w:ascii="仿宋_GB2312" w:hAnsi="宋体" w:eastAsia="仿宋_GB2312"/>
          <w:color w:val="000000"/>
          <w:sz w:val="32"/>
          <w:szCs w:val="32"/>
        </w:rPr>
        <w:t>项目是否执行，执行得10分，没执行不得分。</w:t>
      </w:r>
    </w:p>
    <w:p w14:paraId="06F45CDA">
      <w:pPr>
        <w:spacing w:line="360" w:lineRule="auto"/>
        <w:rPr>
          <w:rFonts w:ascii="黑体" w:hAnsi="黑体" w:eastAsia="黑体"/>
          <w:b/>
          <w:bCs/>
          <w:sz w:val="32"/>
          <w:szCs w:val="32"/>
        </w:rPr>
      </w:pPr>
      <w:r>
        <w:rPr>
          <w:rFonts w:hint="eastAsia" w:ascii="黑体" w:hAnsi="黑体" w:eastAsia="黑体"/>
          <w:sz w:val="32"/>
          <w:szCs w:val="32"/>
        </w:rPr>
        <w:t>三、项目执行及绩效实现情况</w:t>
      </w:r>
    </w:p>
    <w:p w14:paraId="79B5E2A8">
      <w:pPr>
        <w:numPr>
          <w:ilvl w:val="0"/>
          <w:numId w:val="3"/>
        </w:numPr>
        <w:spacing w:line="360" w:lineRule="auto"/>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预算执行情况</w:t>
      </w:r>
    </w:p>
    <w:p w14:paraId="063592B0">
      <w:pPr>
        <w:spacing w:line="360" w:lineRule="auto"/>
        <w:ind w:firstLine="640" w:firstLineChars="200"/>
        <w:rPr>
          <w:rFonts w:ascii="仿宋_GB2312" w:eastAsia="仿宋_GB2312"/>
          <w:sz w:val="32"/>
          <w:szCs w:val="32"/>
        </w:rPr>
      </w:pPr>
      <w:r>
        <w:rPr>
          <w:rFonts w:hint="eastAsia" w:ascii="仿宋_GB2312" w:eastAsia="仿宋_GB2312"/>
          <w:sz w:val="32"/>
          <w:szCs w:val="32"/>
        </w:rPr>
        <w:t>按照执行年初预算安排情况，根据指标体系评分标准计算得分值出为10分。</w:t>
      </w:r>
    </w:p>
    <w:p w14:paraId="58AA08A9">
      <w:pPr>
        <w:spacing w:line="360" w:lineRule="auto"/>
        <w:rPr>
          <w:rFonts w:ascii="仿宋_GB2312" w:eastAsia="仿宋_GB2312"/>
          <w:b/>
          <w:bCs/>
          <w:sz w:val="32"/>
          <w:szCs w:val="32"/>
        </w:rPr>
      </w:pPr>
      <w:r>
        <w:rPr>
          <w:rFonts w:hint="eastAsia" w:ascii="仿宋_GB2312" w:eastAsia="仿宋_GB2312"/>
          <w:b/>
          <w:bCs/>
          <w:sz w:val="32"/>
          <w:szCs w:val="32"/>
        </w:rPr>
        <w:t xml:space="preserve">   </w:t>
      </w:r>
      <w:r>
        <w:rPr>
          <w:rFonts w:hint="eastAsia" w:ascii="楷体_GB2312" w:hAnsi="楷体_GB2312" w:eastAsia="楷体_GB2312" w:cs="楷体_GB2312"/>
          <w:b/>
          <w:bCs/>
          <w:sz w:val="32"/>
          <w:szCs w:val="32"/>
        </w:rPr>
        <w:t xml:space="preserve"> （二）项目产出</w:t>
      </w:r>
    </w:p>
    <w:p w14:paraId="272BCAC0">
      <w:pPr>
        <w:spacing w:line="360" w:lineRule="auto"/>
        <w:ind w:firstLine="640" w:firstLineChars="200"/>
        <w:rPr>
          <w:rFonts w:ascii="仿宋_GB2312" w:eastAsia="仿宋_GB2312"/>
          <w:sz w:val="32"/>
          <w:szCs w:val="32"/>
        </w:rPr>
      </w:pPr>
      <w:r>
        <w:rPr>
          <w:rFonts w:hint="eastAsia" w:ascii="仿宋_GB2312" w:eastAsia="仿宋_GB2312"/>
          <w:sz w:val="32"/>
          <w:szCs w:val="32"/>
        </w:rPr>
        <w:t>对项目的实际完成数量、质量、实效、成本，根据指标体系评分标准计算分值得出40分。</w:t>
      </w:r>
    </w:p>
    <w:p w14:paraId="54685B2B">
      <w:pPr>
        <w:spacing w:line="360" w:lineRule="auto"/>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（三）项目效益</w:t>
      </w:r>
    </w:p>
    <w:p w14:paraId="5CE17489">
      <w:pPr>
        <w:spacing w:line="360" w:lineRule="auto"/>
        <w:ind w:firstLine="640" w:firstLineChars="200"/>
        <w:rPr>
          <w:rFonts w:ascii="仿宋_GB2312" w:eastAsia="仿宋_GB2312"/>
          <w:sz w:val="32"/>
          <w:szCs w:val="32"/>
        </w:rPr>
      </w:pPr>
      <w:r>
        <w:rPr>
          <w:rFonts w:hint="eastAsia" w:ascii="仿宋_GB2312" w:eastAsia="仿宋_GB2312"/>
          <w:sz w:val="32"/>
          <w:szCs w:val="32"/>
        </w:rPr>
        <w:t>对项目的经济效益、社会效益、生态效益、可持续影响等情况进行分析后，根据指标体系评分标准计算得出分值为40分。</w:t>
      </w:r>
    </w:p>
    <w:p w14:paraId="4D302269">
      <w:pPr>
        <w:spacing w:line="360" w:lineRule="auto"/>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（四）满意度</w:t>
      </w:r>
    </w:p>
    <w:p w14:paraId="06FCF5FA">
      <w:pPr>
        <w:spacing w:line="360" w:lineRule="auto"/>
        <w:ind w:firstLine="640" w:firstLineChars="200"/>
        <w:rPr>
          <w:rFonts w:ascii="楷体_GB2312" w:hAnsi="楷体_GB2312" w:eastAsia="楷体_GB2312" w:cs="楷体_GB2312"/>
          <w:b/>
          <w:bCs/>
          <w:sz w:val="32"/>
          <w:szCs w:val="32"/>
        </w:rPr>
      </w:pPr>
      <w:r>
        <w:rPr>
          <w:rFonts w:hint="eastAsia" w:ascii="仿宋_GB2312" w:eastAsia="仿宋_GB2312"/>
          <w:sz w:val="32"/>
          <w:szCs w:val="32"/>
        </w:rPr>
        <w:t>对项目社会公众或服务对象满意度进行分析，根据指标体系评分标准计算分值为9分。</w:t>
      </w:r>
    </w:p>
    <w:p w14:paraId="1AB2F257">
      <w:pPr>
        <w:spacing w:line="360" w:lineRule="auto"/>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1EF7B897">
      <w:pPr>
        <w:spacing w:line="360" w:lineRule="auto"/>
        <w:ind w:firstLine="640" w:firstLineChars="200"/>
        <w:rPr>
          <w:rFonts w:ascii="仿宋_GB2312" w:eastAsia="仿宋_GB2312"/>
          <w:sz w:val="32"/>
          <w:szCs w:val="32"/>
        </w:rPr>
      </w:pPr>
      <w:r>
        <w:rPr>
          <w:rFonts w:hint="eastAsia" w:ascii="仿宋_GB2312" w:eastAsia="仿宋_GB2312"/>
          <w:sz w:val="32"/>
          <w:szCs w:val="32"/>
        </w:rPr>
        <w:t>根据项目执行情况和项目绩效情况，给出总得分为99分，综合评价结论和项目综合绩效评价等级为优秀。</w:t>
      </w:r>
    </w:p>
    <w:p w14:paraId="65083ED7">
      <w:pPr>
        <w:spacing w:line="360" w:lineRule="auto"/>
        <w:ind w:firstLine="640" w:firstLineChars="200"/>
        <w:rPr>
          <w:rFonts w:ascii="仿宋_GB2312" w:eastAsia="仿宋_GB2312"/>
          <w:sz w:val="32"/>
          <w:szCs w:val="32"/>
        </w:rPr>
      </w:pPr>
      <w:r>
        <w:rPr>
          <w:rFonts w:hint="eastAsia" w:ascii="黑体" w:hAnsi="黑体" w:eastAsia="黑体"/>
          <w:sz w:val="32"/>
          <w:szCs w:val="32"/>
        </w:rPr>
        <w:t>五、存在的问题及改进措施</w:t>
      </w:r>
    </w:p>
    <w:p w14:paraId="6E612002">
      <w:pPr>
        <w:spacing w:line="360" w:lineRule="auto"/>
        <w:ind w:firstLine="643" w:firstLineChars="200"/>
        <w:rPr>
          <w:rFonts w:ascii="楷体_GB2312" w:hAnsi="楷体_GB2312" w:eastAsia="楷体_GB2312"/>
          <w:b/>
          <w:bCs/>
          <w:sz w:val="32"/>
          <w:szCs w:val="32"/>
        </w:rPr>
      </w:pPr>
      <w:r>
        <w:rPr>
          <w:rFonts w:hint="eastAsia" w:ascii="楷体_GB2312" w:hAnsi="楷体_GB2312" w:eastAsia="楷体_GB2312"/>
          <w:b/>
          <w:bCs/>
          <w:sz w:val="32"/>
          <w:szCs w:val="32"/>
        </w:rPr>
        <w:t>（一）项目存在的主要问题</w:t>
      </w:r>
    </w:p>
    <w:p w14:paraId="532BAACE">
      <w:pPr>
        <w:adjustRightInd w:val="0"/>
        <w:snapToGrid w:val="0"/>
        <w:spacing w:line="590" w:lineRule="exact"/>
        <w:ind w:firstLine="645"/>
        <w:rPr>
          <w:rFonts w:ascii="仿宋_GB2312" w:hAnsi="宋体" w:eastAsia="仿宋_GB2312"/>
          <w:sz w:val="32"/>
          <w:szCs w:val="32"/>
        </w:rPr>
      </w:pPr>
      <w:r>
        <w:rPr>
          <w:rFonts w:ascii="宋体" w:hAnsi="宋体"/>
          <w:sz w:val="32"/>
          <w:szCs w:val="32"/>
        </w:rPr>
        <w:t>1</w:t>
      </w:r>
      <w:r>
        <w:rPr>
          <w:rFonts w:hint="eastAsia" w:ascii="宋体" w:hAnsi="宋体"/>
          <w:sz w:val="32"/>
          <w:szCs w:val="32"/>
        </w:rPr>
        <w:t>、</w:t>
      </w:r>
      <w:r>
        <w:rPr>
          <w:rFonts w:hint="eastAsia" w:ascii="仿宋_GB2312" w:hAnsi="宋体" w:eastAsia="仿宋_GB2312"/>
          <w:sz w:val="32"/>
          <w:szCs w:val="32"/>
        </w:rPr>
        <w:t>由于社会经济发展，材料成本和人工成本增加，公路工程造价逐年提高，上级补助标准低，税费改革后，交通部门没有资金来源，公路建设只能依靠地方财政，配套资金落实难度大，补助资金到位不及时。</w:t>
      </w:r>
    </w:p>
    <w:p w14:paraId="69DECC8D">
      <w:pPr>
        <w:spacing w:line="360" w:lineRule="auto"/>
        <w:ind w:firstLine="640" w:firstLineChars="200"/>
        <w:rPr>
          <w:rFonts w:ascii="楷体_GB2312" w:hAnsi="楷体_GB2312" w:eastAsia="楷体_GB2312"/>
          <w:b/>
          <w:bCs/>
          <w:sz w:val="32"/>
          <w:szCs w:val="32"/>
        </w:rPr>
      </w:pPr>
      <w:r>
        <w:rPr>
          <w:rFonts w:ascii="仿宋_GB2312" w:hAnsi="宋体" w:eastAsia="仿宋_GB2312"/>
          <w:sz w:val="32"/>
          <w:szCs w:val="32"/>
        </w:rPr>
        <w:t>2</w:t>
      </w:r>
      <w:r>
        <w:rPr>
          <w:rFonts w:hint="eastAsia" w:ascii="仿宋_GB2312" w:hAnsi="宋体" w:eastAsia="仿宋_GB2312"/>
          <w:sz w:val="32"/>
          <w:szCs w:val="32"/>
        </w:rPr>
        <w:t>、农村公路等级和建设标准偏低，抗灾能力差，需要提高等级，完善路网加快高等级农村公路建设。</w:t>
      </w:r>
    </w:p>
    <w:p w14:paraId="59A07909">
      <w:pPr>
        <w:spacing w:line="360" w:lineRule="auto"/>
        <w:ind w:firstLine="643" w:firstLineChars="200"/>
        <w:rPr>
          <w:rFonts w:ascii="楷体_GB2312" w:hAnsi="楷体_GB2312" w:eastAsia="楷体_GB2312"/>
          <w:b/>
          <w:bCs/>
          <w:sz w:val="32"/>
          <w:szCs w:val="32"/>
        </w:rPr>
      </w:pPr>
      <w:r>
        <w:rPr>
          <w:rFonts w:hint="eastAsia" w:ascii="楷体_GB2312" w:hAnsi="楷体_GB2312" w:eastAsia="楷体_GB2312"/>
          <w:b/>
          <w:bCs/>
          <w:sz w:val="32"/>
          <w:szCs w:val="32"/>
        </w:rPr>
        <w:t>（二）针对问题提出具体的改进措施或建议</w:t>
      </w:r>
    </w:p>
    <w:p w14:paraId="481F2607">
      <w:pPr>
        <w:adjustRightInd w:val="0"/>
        <w:snapToGrid w:val="0"/>
        <w:spacing w:line="590" w:lineRule="exact"/>
        <w:ind w:firstLine="645"/>
        <w:rPr>
          <w:rFonts w:ascii="仿宋_GB2312" w:hAnsi="宋体" w:eastAsia="仿宋_GB2312"/>
          <w:sz w:val="32"/>
          <w:szCs w:val="32"/>
        </w:rPr>
      </w:pPr>
      <w:r>
        <w:rPr>
          <w:rFonts w:hint="eastAsia" w:ascii="仿宋_GB2312" w:hAnsi="宋体" w:eastAsia="仿宋_GB2312"/>
          <w:sz w:val="32"/>
          <w:szCs w:val="32"/>
        </w:rPr>
        <w:t>1、积极筹措地方配套资金，配套资金由县财政列入财政预算，同时解决项目前期的费用。</w:t>
      </w:r>
    </w:p>
    <w:p w14:paraId="7B491AA7">
      <w:pPr>
        <w:adjustRightInd w:val="0"/>
        <w:snapToGrid w:val="0"/>
        <w:spacing w:line="590" w:lineRule="exact"/>
        <w:ind w:firstLine="645"/>
        <w:rPr>
          <w:rFonts w:ascii="仿宋_GB2312" w:hAnsi="宋体" w:eastAsia="仿宋_GB2312"/>
          <w:sz w:val="32"/>
          <w:szCs w:val="32"/>
        </w:rPr>
      </w:pPr>
      <w:r>
        <w:rPr>
          <w:rFonts w:hint="eastAsia" w:ascii="仿宋_GB2312" w:hAnsi="宋体" w:eastAsia="仿宋_GB2312"/>
          <w:sz w:val="32"/>
          <w:szCs w:val="32"/>
        </w:rPr>
        <w:t>2、加快项目建设进度，加大实施力度，完善项目手续，严格执行相关规定，确保项目建设的合法合规，杜绝以长代短、降低建设标准等行为。</w:t>
      </w:r>
    </w:p>
    <w:p w14:paraId="0316DD17">
      <w:pPr>
        <w:adjustRightInd w:val="0"/>
        <w:snapToGrid w:val="0"/>
        <w:spacing w:line="590" w:lineRule="exact"/>
        <w:ind w:firstLine="645"/>
        <w:rPr>
          <w:rFonts w:ascii="仿宋_GB2312" w:hAnsi="宋体" w:eastAsia="仿宋_GB2312"/>
          <w:sz w:val="32"/>
          <w:szCs w:val="32"/>
        </w:rPr>
      </w:pPr>
      <w:r>
        <w:rPr>
          <w:rFonts w:hint="eastAsia" w:ascii="仿宋_GB2312" w:hAnsi="宋体" w:eastAsia="仿宋_GB2312"/>
          <w:sz w:val="32"/>
          <w:szCs w:val="32"/>
        </w:rPr>
        <w:t>3、严格落实责任、质量监督。</w:t>
      </w:r>
    </w:p>
    <w:p w14:paraId="6F9F0E55">
      <w:pPr>
        <w:adjustRightInd w:val="0"/>
        <w:snapToGrid w:val="0"/>
        <w:spacing w:line="590" w:lineRule="exact"/>
        <w:ind w:firstLine="645"/>
        <w:rPr>
          <w:rFonts w:ascii="仿宋_GB2312" w:hAnsi="宋体" w:eastAsia="仿宋_GB2312"/>
          <w:sz w:val="32"/>
          <w:szCs w:val="32"/>
        </w:rPr>
      </w:pPr>
      <w:r>
        <w:rPr>
          <w:rFonts w:hint="eastAsia" w:ascii="仿宋_GB2312" w:hAnsi="宋体" w:eastAsia="仿宋_GB2312"/>
          <w:b/>
          <w:bCs/>
          <w:sz w:val="32"/>
          <w:szCs w:val="32"/>
        </w:rPr>
        <w:t>六、评价工作组人员名单及签名</w:t>
      </w:r>
      <w:r>
        <w:rPr>
          <w:rFonts w:hint="eastAsia" w:ascii="仿宋_GB2312" w:hAnsi="宋体" w:eastAsia="仿宋_GB2312"/>
          <w:sz w:val="32"/>
          <w:szCs w:val="32"/>
        </w:rPr>
        <w:t>（姓名、工作单位、职务、职称）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2760"/>
        <w:gridCol w:w="1215"/>
        <w:gridCol w:w="1468"/>
        <w:gridCol w:w="1468"/>
      </w:tblGrid>
      <w:tr w14:paraId="08FF3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vAlign w:val="center"/>
          </w:tcPr>
          <w:p w14:paraId="1621248D">
            <w:pPr>
              <w:adjustRightInd w:val="0"/>
              <w:snapToGrid w:val="0"/>
              <w:spacing w:line="360" w:lineRule="auto"/>
              <w:jc w:val="center"/>
              <w:rPr>
                <w:rFonts w:ascii="仿宋_GB2312" w:eastAsia="仿宋_GB2312"/>
                <w:sz w:val="32"/>
                <w:szCs w:val="32"/>
              </w:rPr>
            </w:pPr>
            <w:r>
              <w:rPr>
                <w:rFonts w:hint="eastAsia" w:ascii="仿宋_GB2312" w:eastAsia="仿宋_GB2312"/>
                <w:sz w:val="32"/>
                <w:szCs w:val="32"/>
              </w:rPr>
              <w:t>姓名</w:t>
            </w:r>
          </w:p>
        </w:tc>
        <w:tc>
          <w:tcPr>
            <w:tcW w:w="2760" w:type="dxa"/>
            <w:vAlign w:val="center"/>
          </w:tcPr>
          <w:p w14:paraId="3A1A90C7">
            <w:pPr>
              <w:adjustRightInd w:val="0"/>
              <w:snapToGrid w:val="0"/>
              <w:spacing w:line="360" w:lineRule="auto"/>
              <w:jc w:val="center"/>
              <w:rPr>
                <w:rFonts w:ascii="仿宋_GB2312" w:eastAsia="仿宋_GB2312"/>
                <w:sz w:val="32"/>
                <w:szCs w:val="32"/>
              </w:rPr>
            </w:pPr>
            <w:r>
              <w:rPr>
                <w:rFonts w:hint="eastAsia" w:ascii="仿宋_GB2312" w:eastAsia="仿宋_GB2312"/>
                <w:sz w:val="32"/>
                <w:szCs w:val="32"/>
              </w:rPr>
              <w:t>工作单位</w:t>
            </w:r>
          </w:p>
        </w:tc>
        <w:tc>
          <w:tcPr>
            <w:tcW w:w="1215" w:type="dxa"/>
            <w:vAlign w:val="center"/>
          </w:tcPr>
          <w:p w14:paraId="71A55504">
            <w:pPr>
              <w:adjustRightInd w:val="0"/>
              <w:snapToGrid w:val="0"/>
              <w:spacing w:line="360" w:lineRule="auto"/>
              <w:jc w:val="center"/>
              <w:rPr>
                <w:rFonts w:ascii="仿宋_GB2312" w:eastAsia="仿宋_GB2312"/>
                <w:sz w:val="32"/>
                <w:szCs w:val="32"/>
              </w:rPr>
            </w:pPr>
            <w:r>
              <w:rPr>
                <w:rFonts w:hint="eastAsia" w:ascii="仿宋_GB2312" w:eastAsia="仿宋_GB2312"/>
                <w:sz w:val="32"/>
                <w:szCs w:val="32"/>
              </w:rPr>
              <w:t>职务</w:t>
            </w:r>
          </w:p>
        </w:tc>
        <w:tc>
          <w:tcPr>
            <w:tcW w:w="1468" w:type="dxa"/>
            <w:vAlign w:val="center"/>
          </w:tcPr>
          <w:p w14:paraId="22648F9D">
            <w:pPr>
              <w:adjustRightInd w:val="0"/>
              <w:snapToGrid w:val="0"/>
              <w:spacing w:line="360" w:lineRule="auto"/>
              <w:jc w:val="center"/>
              <w:rPr>
                <w:rFonts w:ascii="仿宋_GB2312" w:eastAsia="仿宋_GB2312"/>
                <w:sz w:val="32"/>
                <w:szCs w:val="32"/>
              </w:rPr>
            </w:pPr>
            <w:r>
              <w:rPr>
                <w:rFonts w:hint="eastAsia" w:ascii="仿宋_GB2312" w:eastAsia="仿宋_GB2312"/>
                <w:sz w:val="32"/>
                <w:szCs w:val="32"/>
              </w:rPr>
              <w:t>职称</w:t>
            </w:r>
          </w:p>
        </w:tc>
        <w:tc>
          <w:tcPr>
            <w:tcW w:w="1468" w:type="dxa"/>
            <w:vAlign w:val="center"/>
          </w:tcPr>
          <w:p w14:paraId="58F189D0">
            <w:pPr>
              <w:adjustRightInd w:val="0"/>
              <w:snapToGrid w:val="0"/>
              <w:spacing w:line="360" w:lineRule="auto"/>
              <w:jc w:val="center"/>
              <w:rPr>
                <w:rFonts w:ascii="仿宋_GB2312" w:eastAsia="仿宋_GB2312"/>
                <w:sz w:val="32"/>
                <w:szCs w:val="32"/>
              </w:rPr>
            </w:pPr>
            <w:r>
              <w:rPr>
                <w:rFonts w:hint="eastAsia" w:ascii="仿宋_GB2312" w:eastAsia="仿宋_GB2312"/>
                <w:sz w:val="32"/>
                <w:szCs w:val="32"/>
              </w:rPr>
              <w:t>签名</w:t>
            </w:r>
          </w:p>
        </w:tc>
      </w:tr>
      <w:tr w14:paraId="3DAD1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vAlign w:val="center"/>
          </w:tcPr>
          <w:p w14:paraId="1036A8A4">
            <w:pPr>
              <w:adjustRightInd w:val="0"/>
              <w:snapToGrid w:val="0"/>
              <w:spacing w:line="360" w:lineRule="auto"/>
              <w:jc w:val="center"/>
              <w:rPr>
                <w:rFonts w:ascii="仿宋_GB2312" w:eastAsia="仿宋_GB2312"/>
                <w:sz w:val="32"/>
                <w:szCs w:val="32"/>
              </w:rPr>
            </w:pPr>
            <w:r>
              <w:rPr>
                <w:rFonts w:hint="eastAsia" w:ascii="仿宋_GB2312" w:eastAsia="仿宋_GB2312"/>
                <w:sz w:val="32"/>
                <w:szCs w:val="32"/>
              </w:rPr>
              <w:t>薛晓峰</w:t>
            </w:r>
          </w:p>
        </w:tc>
        <w:tc>
          <w:tcPr>
            <w:tcW w:w="2760" w:type="dxa"/>
            <w:vAlign w:val="center"/>
          </w:tcPr>
          <w:p w14:paraId="096037E0">
            <w:pPr>
              <w:adjustRightInd w:val="0"/>
              <w:snapToGrid w:val="0"/>
              <w:spacing w:line="360" w:lineRule="auto"/>
              <w:jc w:val="center"/>
              <w:rPr>
                <w:rFonts w:ascii="仿宋_GB2312" w:eastAsia="仿宋_GB2312"/>
                <w:sz w:val="32"/>
                <w:szCs w:val="32"/>
              </w:rPr>
            </w:pPr>
            <w:r>
              <w:rPr>
                <w:rFonts w:hint="eastAsia" w:ascii="仿宋_GB2312" w:eastAsia="仿宋_GB2312"/>
                <w:sz w:val="24"/>
                <w:szCs w:val="24"/>
              </w:rPr>
              <w:t>赵县地方道路管理站</w:t>
            </w:r>
          </w:p>
        </w:tc>
        <w:tc>
          <w:tcPr>
            <w:tcW w:w="1215" w:type="dxa"/>
            <w:vAlign w:val="center"/>
          </w:tcPr>
          <w:p w14:paraId="07770FB8">
            <w:pPr>
              <w:adjustRightInd w:val="0"/>
              <w:snapToGrid w:val="0"/>
              <w:spacing w:line="360" w:lineRule="auto"/>
              <w:jc w:val="center"/>
              <w:rPr>
                <w:rFonts w:ascii="仿宋_GB2312" w:eastAsia="仿宋_GB2312"/>
                <w:sz w:val="32"/>
                <w:szCs w:val="32"/>
              </w:rPr>
            </w:pPr>
            <w:r>
              <w:rPr>
                <w:rFonts w:hint="eastAsia" w:ascii="仿宋_GB2312" w:eastAsia="仿宋_GB2312"/>
                <w:sz w:val="32"/>
                <w:szCs w:val="32"/>
              </w:rPr>
              <w:t>组长</w:t>
            </w:r>
          </w:p>
        </w:tc>
        <w:tc>
          <w:tcPr>
            <w:tcW w:w="1468" w:type="dxa"/>
            <w:vAlign w:val="center"/>
          </w:tcPr>
          <w:p w14:paraId="41362732">
            <w:pPr>
              <w:adjustRightInd w:val="0"/>
              <w:snapToGrid w:val="0"/>
              <w:spacing w:line="360" w:lineRule="auto"/>
              <w:jc w:val="center"/>
              <w:rPr>
                <w:rFonts w:ascii="仿宋_GB2312" w:eastAsia="仿宋_GB2312"/>
                <w:sz w:val="32"/>
                <w:szCs w:val="32"/>
              </w:rPr>
            </w:pPr>
          </w:p>
        </w:tc>
        <w:tc>
          <w:tcPr>
            <w:tcW w:w="1468" w:type="dxa"/>
            <w:vAlign w:val="center"/>
          </w:tcPr>
          <w:p w14:paraId="7ADBCCDD">
            <w:pPr>
              <w:adjustRightInd w:val="0"/>
              <w:snapToGrid w:val="0"/>
              <w:spacing w:line="360" w:lineRule="auto"/>
              <w:jc w:val="center"/>
              <w:rPr>
                <w:rFonts w:ascii="仿宋_GB2312" w:eastAsia="仿宋_GB2312"/>
                <w:sz w:val="32"/>
                <w:szCs w:val="32"/>
              </w:rPr>
            </w:pPr>
          </w:p>
        </w:tc>
      </w:tr>
      <w:tr w14:paraId="3E5F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vAlign w:val="center"/>
          </w:tcPr>
          <w:p w14:paraId="2CACC2A9">
            <w:pPr>
              <w:adjustRightInd w:val="0"/>
              <w:snapToGrid w:val="0"/>
              <w:spacing w:line="360" w:lineRule="auto"/>
              <w:jc w:val="center"/>
              <w:rPr>
                <w:rFonts w:ascii="仿宋_GB2312" w:eastAsia="仿宋_GB2312"/>
                <w:sz w:val="32"/>
                <w:szCs w:val="32"/>
              </w:rPr>
            </w:pPr>
            <w:r>
              <w:rPr>
                <w:rFonts w:hint="eastAsia" w:ascii="仿宋_GB2312" w:eastAsia="仿宋_GB2312"/>
                <w:sz w:val="32"/>
                <w:szCs w:val="32"/>
              </w:rPr>
              <w:t>安世彪</w:t>
            </w:r>
          </w:p>
        </w:tc>
        <w:tc>
          <w:tcPr>
            <w:tcW w:w="2760" w:type="dxa"/>
            <w:vAlign w:val="center"/>
          </w:tcPr>
          <w:p w14:paraId="04AF5172">
            <w:pPr>
              <w:adjustRightInd w:val="0"/>
              <w:snapToGrid w:val="0"/>
              <w:spacing w:line="360" w:lineRule="auto"/>
              <w:jc w:val="center"/>
              <w:rPr>
                <w:rFonts w:ascii="仿宋_GB2312" w:eastAsia="仿宋_GB2312"/>
                <w:sz w:val="32"/>
                <w:szCs w:val="32"/>
              </w:rPr>
            </w:pPr>
            <w:r>
              <w:rPr>
                <w:rFonts w:hint="eastAsia" w:ascii="仿宋_GB2312" w:eastAsia="仿宋_GB2312"/>
                <w:sz w:val="24"/>
                <w:szCs w:val="24"/>
              </w:rPr>
              <w:t>赵县地方道路管理站</w:t>
            </w:r>
          </w:p>
        </w:tc>
        <w:tc>
          <w:tcPr>
            <w:tcW w:w="1215" w:type="dxa"/>
            <w:vAlign w:val="center"/>
          </w:tcPr>
          <w:p w14:paraId="4B28E64D">
            <w:pPr>
              <w:adjustRightInd w:val="0"/>
              <w:snapToGrid w:val="0"/>
              <w:spacing w:line="360" w:lineRule="auto"/>
              <w:jc w:val="center"/>
              <w:rPr>
                <w:rFonts w:ascii="仿宋_GB2312" w:eastAsia="仿宋_GB2312"/>
                <w:sz w:val="32"/>
                <w:szCs w:val="32"/>
              </w:rPr>
            </w:pPr>
            <w:r>
              <w:rPr>
                <w:rFonts w:hint="eastAsia" w:ascii="仿宋_GB2312" w:eastAsia="仿宋_GB2312"/>
                <w:sz w:val="32"/>
                <w:szCs w:val="32"/>
              </w:rPr>
              <w:t>副组长</w:t>
            </w:r>
          </w:p>
        </w:tc>
        <w:tc>
          <w:tcPr>
            <w:tcW w:w="1468" w:type="dxa"/>
            <w:vAlign w:val="center"/>
          </w:tcPr>
          <w:p w14:paraId="7163C7BA">
            <w:pPr>
              <w:adjustRightInd w:val="0"/>
              <w:snapToGrid w:val="0"/>
              <w:spacing w:line="360" w:lineRule="auto"/>
              <w:jc w:val="center"/>
              <w:rPr>
                <w:rFonts w:ascii="仿宋_GB2312" w:eastAsia="仿宋_GB2312"/>
                <w:sz w:val="32"/>
                <w:szCs w:val="32"/>
              </w:rPr>
            </w:pPr>
          </w:p>
        </w:tc>
        <w:tc>
          <w:tcPr>
            <w:tcW w:w="1468" w:type="dxa"/>
            <w:vAlign w:val="center"/>
          </w:tcPr>
          <w:p w14:paraId="68FE7DA0">
            <w:pPr>
              <w:adjustRightInd w:val="0"/>
              <w:snapToGrid w:val="0"/>
              <w:spacing w:line="360" w:lineRule="auto"/>
              <w:jc w:val="center"/>
              <w:rPr>
                <w:rFonts w:ascii="仿宋_GB2312" w:eastAsia="仿宋_GB2312"/>
                <w:sz w:val="32"/>
                <w:szCs w:val="32"/>
              </w:rPr>
            </w:pPr>
          </w:p>
        </w:tc>
      </w:tr>
      <w:tr w14:paraId="7AFA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vAlign w:val="center"/>
          </w:tcPr>
          <w:p w14:paraId="0CF1567F">
            <w:pPr>
              <w:adjustRightInd w:val="0"/>
              <w:snapToGrid w:val="0"/>
              <w:spacing w:line="360" w:lineRule="auto"/>
              <w:jc w:val="center"/>
              <w:rPr>
                <w:rFonts w:ascii="仿宋_GB2312" w:eastAsia="仿宋_GB2312"/>
                <w:sz w:val="32"/>
                <w:szCs w:val="32"/>
              </w:rPr>
            </w:pPr>
            <w:r>
              <w:rPr>
                <w:rFonts w:hint="eastAsia" w:ascii="仿宋_GB2312" w:eastAsia="仿宋_GB2312"/>
                <w:sz w:val="32"/>
                <w:szCs w:val="32"/>
              </w:rPr>
              <w:t>魏鹏</w:t>
            </w:r>
          </w:p>
        </w:tc>
        <w:tc>
          <w:tcPr>
            <w:tcW w:w="2760" w:type="dxa"/>
            <w:vAlign w:val="center"/>
          </w:tcPr>
          <w:p w14:paraId="41B3DEA3">
            <w:pPr>
              <w:adjustRightInd w:val="0"/>
              <w:snapToGrid w:val="0"/>
              <w:spacing w:line="360" w:lineRule="auto"/>
              <w:jc w:val="center"/>
              <w:rPr>
                <w:rFonts w:ascii="仿宋_GB2312" w:eastAsia="仿宋_GB2312"/>
                <w:sz w:val="32"/>
                <w:szCs w:val="32"/>
              </w:rPr>
            </w:pPr>
            <w:bookmarkStart w:id="0" w:name="OLE_LINK1"/>
            <w:bookmarkStart w:id="1" w:name="OLE_LINK2"/>
            <w:r>
              <w:rPr>
                <w:rFonts w:hint="eastAsia" w:ascii="仿宋_GB2312" w:eastAsia="仿宋_GB2312"/>
                <w:sz w:val="24"/>
                <w:szCs w:val="24"/>
              </w:rPr>
              <w:t>赵县地方道路管理站</w:t>
            </w:r>
            <w:bookmarkEnd w:id="0"/>
            <w:bookmarkEnd w:id="1"/>
          </w:p>
        </w:tc>
        <w:tc>
          <w:tcPr>
            <w:tcW w:w="1215" w:type="dxa"/>
            <w:vAlign w:val="center"/>
          </w:tcPr>
          <w:p w14:paraId="6A29E8EE">
            <w:pPr>
              <w:adjustRightInd w:val="0"/>
              <w:snapToGrid w:val="0"/>
              <w:spacing w:line="360" w:lineRule="auto"/>
              <w:jc w:val="center"/>
              <w:rPr>
                <w:rFonts w:ascii="仿宋_GB2312" w:eastAsia="仿宋_GB2312"/>
                <w:sz w:val="32"/>
                <w:szCs w:val="32"/>
              </w:rPr>
            </w:pPr>
            <w:r>
              <w:rPr>
                <w:rFonts w:hint="eastAsia" w:ascii="仿宋_GB2312" w:eastAsia="仿宋_GB2312"/>
                <w:sz w:val="32"/>
                <w:szCs w:val="32"/>
              </w:rPr>
              <w:t>副组长</w:t>
            </w:r>
          </w:p>
        </w:tc>
        <w:tc>
          <w:tcPr>
            <w:tcW w:w="1468" w:type="dxa"/>
            <w:vAlign w:val="center"/>
          </w:tcPr>
          <w:p w14:paraId="761003F2">
            <w:pPr>
              <w:adjustRightInd w:val="0"/>
              <w:snapToGrid w:val="0"/>
              <w:spacing w:line="360" w:lineRule="auto"/>
              <w:jc w:val="center"/>
              <w:rPr>
                <w:rFonts w:ascii="仿宋_GB2312" w:eastAsia="仿宋_GB2312"/>
                <w:sz w:val="32"/>
                <w:szCs w:val="32"/>
              </w:rPr>
            </w:pPr>
          </w:p>
        </w:tc>
        <w:tc>
          <w:tcPr>
            <w:tcW w:w="1468" w:type="dxa"/>
            <w:vAlign w:val="center"/>
          </w:tcPr>
          <w:p w14:paraId="250F9F3A">
            <w:pPr>
              <w:adjustRightInd w:val="0"/>
              <w:snapToGrid w:val="0"/>
              <w:spacing w:line="360" w:lineRule="auto"/>
              <w:jc w:val="center"/>
              <w:rPr>
                <w:rFonts w:ascii="仿宋_GB2312" w:eastAsia="仿宋_GB2312"/>
                <w:sz w:val="32"/>
                <w:szCs w:val="32"/>
              </w:rPr>
            </w:pPr>
          </w:p>
        </w:tc>
      </w:tr>
      <w:tr w14:paraId="4B1C2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vAlign w:val="center"/>
          </w:tcPr>
          <w:p w14:paraId="254201C1">
            <w:pPr>
              <w:adjustRightInd w:val="0"/>
              <w:snapToGrid w:val="0"/>
              <w:spacing w:line="360" w:lineRule="auto"/>
              <w:jc w:val="center"/>
              <w:rPr>
                <w:rFonts w:hint="eastAsia" w:ascii="仿宋_GB2312" w:eastAsia="仿宋_GB2312"/>
                <w:sz w:val="32"/>
                <w:szCs w:val="32"/>
              </w:rPr>
            </w:pPr>
            <w:r>
              <w:rPr>
                <w:rFonts w:hint="eastAsia" w:ascii="仿宋_GB2312" w:eastAsia="仿宋_GB2312"/>
                <w:sz w:val="32"/>
                <w:szCs w:val="32"/>
              </w:rPr>
              <w:t>陈伟伟</w:t>
            </w:r>
          </w:p>
        </w:tc>
        <w:tc>
          <w:tcPr>
            <w:tcW w:w="2760" w:type="dxa"/>
            <w:vAlign w:val="center"/>
          </w:tcPr>
          <w:p w14:paraId="446318B4">
            <w:pPr>
              <w:adjustRightInd w:val="0"/>
              <w:snapToGrid w:val="0"/>
              <w:spacing w:line="360" w:lineRule="auto"/>
              <w:jc w:val="center"/>
              <w:rPr>
                <w:rFonts w:hint="eastAsia" w:ascii="仿宋_GB2312" w:eastAsia="仿宋_GB2312"/>
                <w:sz w:val="24"/>
                <w:szCs w:val="24"/>
              </w:rPr>
            </w:pPr>
            <w:r>
              <w:rPr>
                <w:rFonts w:hint="eastAsia" w:ascii="仿宋_GB2312" w:eastAsia="仿宋_GB2312"/>
                <w:sz w:val="24"/>
                <w:szCs w:val="24"/>
              </w:rPr>
              <w:t>赵县地方道路管理站</w:t>
            </w:r>
          </w:p>
        </w:tc>
        <w:tc>
          <w:tcPr>
            <w:tcW w:w="1215" w:type="dxa"/>
            <w:vAlign w:val="center"/>
          </w:tcPr>
          <w:p w14:paraId="09ED1ED5">
            <w:pPr>
              <w:adjustRightInd w:val="0"/>
              <w:snapToGrid w:val="0"/>
              <w:spacing w:line="360" w:lineRule="auto"/>
              <w:jc w:val="center"/>
              <w:rPr>
                <w:rFonts w:hint="eastAsia" w:ascii="仿宋_GB2312" w:eastAsia="仿宋_GB2312"/>
                <w:sz w:val="32"/>
                <w:szCs w:val="32"/>
              </w:rPr>
            </w:pPr>
            <w:r>
              <w:rPr>
                <w:rFonts w:hint="eastAsia" w:ascii="仿宋_GB2312" w:eastAsia="仿宋_GB2312"/>
                <w:sz w:val="32"/>
                <w:szCs w:val="32"/>
              </w:rPr>
              <w:t>成员</w:t>
            </w:r>
          </w:p>
        </w:tc>
        <w:tc>
          <w:tcPr>
            <w:tcW w:w="1468" w:type="dxa"/>
            <w:vAlign w:val="center"/>
          </w:tcPr>
          <w:p w14:paraId="0E571146">
            <w:pPr>
              <w:adjustRightInd w:val="0"/>
              <w:snapToGrid w:val="0"/>
              <w:spacing w:line="360" w:lineRule="auto"/>
              <w:jc w:val="center"/>
              <w:rPr>
                <w:rFonts w:ascii="仿宋_GB2312" w:eastAsia="仿宋_GB2312"/>
                <w:sz w:val="32"/>
                <w:szCs w:val="32"/>
              </w:rPr>
            </w:pPr>
          </w:p>
        </w:tc>
        <w:tc>
          <w:tcPr>
            <w:tcW w:w="1468" w:type="dxa"/>
            <w:vAlign w:val="center"/>
          </w:tcPr>
          <w:p w14:paraId="36989F3A">
            <w:pPr>
              <w:adjustRightInd w:val="0"/>
              <w:snapToGrid w:val="0"/>
              <w:spacing w:line="360" w:lineRule="auto"/>
              <w:jc w:val="center"/>
              <w:rPr>
                <w:rFonts w:ascii="仿宋_GB2312" w:eastAsia="仿宋_GB2312"/>
                <w:sz w:val="32"/>
                <w:szCs w:val="32"/>
              </w:rPr>
            </w:pPr>
          </w:p>
        </w:tc>
      </w:tr>
    </w:tbl>
    <w:p w14:paraId="43B4F675">
      <w:pPr>
        <w:adjustRightInd w:val="0"/>
        <w:snapToGrid w:val="0"/>
        <w:spacing w:line="360" w:lineRule="auto"/>
        <w:ind w:firstLine="720" w:firstLineChars="200"/>
        <w:rPr>
          <w:rFonts w:ascii="仿宋_GB2312" w:eastAsia="仿宋_GB2312"/>
          <w:sz w:val="36"/>
          <w:szCs w:val="36"/>
        </w:rPr>
      </w:pPr>
    </w:p>
    <w:p w14:paraId="6A6B280A">
      <w:pPr>
        <w:adjustRightInd w:val="0"/>
        <w:snapToGrid w:val="0"/>
        <w:spacing w:line="360" w:lineRule="auto"/>
        <w:ind w:firstLine="640" w:firstLineChars="200"/>
        <w:rPr>
          <w:rFonts w:ascii="仿宋_GB2312" w:eastAsia="仿宋_GB2312"/>
          <w:sz w:val="32"/>
          <w:szCs w:val="32"/>
        </w:rPr>
      </w:pPr>
    </w:p>
    <w:p w14:paraId="45AB9019">
      <w:pPr>
        <w:adjustRightInd w:val="0"/>
        <w:snapToGrid w:val="0"/>
        <w:spacing w:line="360" w:lineRule="auto"/>
        <w:ind w:firstLine="640" w:firstLineChars="200"/>
        <w:rPr>
          <w:rFonts w:ascii="仿宋_GB2312" w:eastAsia="仿宋_GB2312"/>
          <w:sz w:val="32"/>
          <w:szCs w:val="32"/>
        </w:rPr>
      </w:pPr>
    </w:p>
    <w:p w14:paraId="7C08E54F">
      <w:pPr>
        <w:adjustRightInd w:val="0"/>
        <w:snapToGrid w:val="0"/>
        <w:spacing w:line="360" w:lineRule="auto"/>
        <w:ind w:firstLine="5120" w:firstLineChars="1600"/>
        <w:rPr>
          <w:rFonts w:ascii="仿宋_GB2312" w:eastAsia="仿宋_GB2312"/>
          <w:sz w:val="32"/>
          <w:szCs w:val="32"/>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6E601">
    <w:pPr>
      <w:pStyle w:val="4"/>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E4D0B3F">
                <w:pPr>
                  <w:snapToGrid w:val="0"/>
                  <w:rPr>
                    <w:sz w:val="18"/>
                  </w:rPr>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0AB720"/>
    <w:multiLevelType w:val="singleLevel"/>
    <w:tmpl w:val="ED0AB720"/>
    <w:lvl w:ilvl="0" w:tentative="0">
      <w:start w:val="2"/>
      <w:numFmt w:val="decimal"/>
      <w:suff w:val="nothing"/>
      <w:lvlText w:val="%1）"/>
      <w:lvlJc w:val="left"/>
    </w:lvl>
  </w:abstractNum>
  <w:abstractNum w:abstractNumId="1">
    <w:nsid w:val="5E68489B"/>
    <w:multiLevelType w:val="singleLevel"/>
    <w:tmpl w:val="5E68489B"/>
    <w:lvl w:ilvl="0" w:tentative="0">
      <w:start w:val="1"/>
      <w:numFmt w:val="chineseCounting"/>
      <w:suff w:val="nothing"/>
      <w:lvlText w:val="（%1）"/>
      <w:lvlJc w:val="left"/>
    </w:lvl>
  </w:abstractNum>
  <w:abstractNum w:abstractNumId="2">
    <w:nsid w:val="699B8CEE"/>
    <w:multiLevelType w:val="singleLevel"/>
    <w:tmpl w:val="699B8CEE"/>
    <w:lvl w:ilvl="0" w:tentative="0">
      <w:start w:val="2"/>
      <w:numFmt w:val="chineseCounting"/>
      <w:suff w:val="nothing"/>
      <w:lvlText w:val="（%1）"/>
      <w:lvlJc w:val="left"/>
      <w:pPr>
        <w:ind w:left="642" w:firstLine="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mM3MjIyNGYzNTMzZjI4MDg5MjY2NjJhNWEwN2U3YTgifQ=="/>
  </w:docVars>
  <w:rsids>
    <w:rsidRoot w:val="0EBD2122"/>
    <w:rsid w:val="000A0694"/>
    <w:rsid w:val="00145D16"/>
    <w:rsid w:val="0022724D"/>
    <w:rsid w:val="002D152B"/>
    <w:rsid w:val="00325520"/>
    <w:rsid w:val="00387497"/>
    <w:rsid w:val="004538FF"/>
    <w:rsid w:val="004C4197"/>
    <w:rsid w:val="006302AB"/>
    <w:rsid w:val="007E6175"/>
    <w:rsid w:val="0094419C"/>
    <w:rsid w:val="00992678"/>
    <w:rsid w:val="00A1255B"/>
    <w:rsid w:val="00A40DFC"/>
    <w:rsid w:val="00D87798"/>
    <w:rsid w:val="02B43A28"/>
    <w:rsid w:val="035C1DCA"/>
    <w:rsid w:val="0ADE4C57"/>
    <w:rsid w:val="0B553E3B"/>
    <w:rsid w:val="0D821116"/>
    <w:rsid w:val="0DD140E8"/>
    <w:rsid w:val="0EB97A43"/>
    <w:rsid w:val="0EBD2122"/>
    <w:rsid w:val="11B71E6A"/>
    <w:rsid w:val="11C301D7"/>
    <w:rsid w:val="140D603C"/>
    <w:rsid w:val="18B83A15"/>
    <w:rsid w:val="18DC4A8F"/>
    <w:rsid w:val="1AAF0063"/>
    <w:rsid w:val="1B46158E"/>
    <w:rsid w:val="1BE140DE"/>
    <w:rsid w:val="1C8315D0"/>
    <w:rsid w:val="1FC52465"/>
    <w:rsid w:val="248C197D"/>
    <w:rsid w:val="252959AF"/>
    <w:rsid w:val="25A265A6"/>
    <w:rsid w:val="25D07148"/>
    <w:rsid w:val="277A6671"/>
    <w:rsid w:val="27DE6D5E"/>
    <w:rsid w:val="291C132F"/>
    <w:rsid w:val="2B39504D"/>
    <w:rsid w:val="33EB6CFF"/>
    <w:rsid w:val="34671073"/>
    <w:rsid w:val="37427B46"/>
    <w:rsid w:val="387621BE"/>
    <w:rsid w:val="3B625C0A"/>
    <w:rsid w:val="3C852A0C"/>
    <w:rsid w:val="3CEE1963"/>
    <w:rsid w:val="3D7B5F60"/>
    <w:rsid w:val="4214791D"/>
    <w:rsid w:val="44A26DA2"/>
    <w:rsid w:val="4D3E6D57"/>
    <w:rsid w:val="512260B4"/>
    <w:rsid w:val="564E15BE"/>
    <w:rsid w:val="568B0B41"/>
    <w:rsid w:val="58B74B65"/>
    <w:rsid w:val="5B83471E"/>
    <w:rsid w:val="5FB76ACB"/>
    <w:rsid w:val="618F197A"/>
    <w:rsid w:val="65691B66"/>
    <w:rsid w:val="66AF0CE5"/>
    <w:rsid w:val="6E5B14A6"/>
    <w:rsid w:val="6F5A0AFD"/>
    <w:rsid w:val="73C83EC1"/>
    <w:rsid w:val="76A40ED5"/>
    <w:rsid w:val="7BB51E06"/>
    <w:rsid w:val="7C387F7C"/>
    <w:rsid w:val="7C427374"/>
    <w:rsid w:val="7D5A0AE8"/>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left="420" w:leftChars="200" w:firstLine="420" w:firstLineChars="200"/>
    </w:pPr>
    <w:rPr>
      <w:rFonts w:ascii="宋体" w:hAnsi="宋体"/>
      <w:szCs w:val="20"/>
    </w:rPr>
  </w:style>
  <w:style w:type="paragraph" w:styleId="3">
    <w:name w:val="Balloon Text"/>
    <w:basedOn w:val="1"/>
    <w:link w:val="10"/>
    <w:qFormat/>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First Indent 2"/>
    <w:basedOn w:val="2"/>
    <w:qFormat/>
    <w:uiPriority w:val="0"/>
    <w:pPr>
      <w:ind w:left="200" w:firstLine="200"/>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批注框文本 Char"/>
    <w:link w:val="3"/>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7</Pages>
  <Words>3256</Words>
  <Characters>3397</Characters>
  <Lines>25</Lines>
  <Paragraphs>7</Paragraphs>
  <TotalTime>77</TotalTime>
  <ScaleCrop>false</ScaleCrop>
  <LinksUpToDate>false</LinksUpToDate>
  <CharactersWithSpaces>3409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13323011735</cp:lastModifiedBy>
  <cp:lastPrinted>2026-05-22T07:25:00Z</cp:lastPrinted>
  <dcterms:modified xsi:type="dcterms:W3CDTF">2026-06-05T08:57:53Z</dcterms:modified>
  <dc:title>附件3：</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9ED0443B1EBE4279B036C45636489154</vt:lpwstr>
  </property>
  <property fmtid="{D5CDD505-2E9C-101B-9397-08002B2CF9AE}" pid="4" name="KSOTemplateDocerSaveRecord">
    <vt:lpwstr>eyJoZGlkIjoiY2Q1YmEwODljMjhlMDViZDY2ZTI0MGM5YzhhNmYyYzUiLCJ1c2VySWQiOiIxNTUwMjQwMDk2In0=</vt:lpwstr>
  </property>
</Properties>
</file>