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AEB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关于调整节能汽车、新能源汽车车船税优惠政策的</w:t>
      </w:r>
    </w:p>
    <w:p w14:paraId="71AF37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公告</w:t>
      </w:r>
    </w:p>
    <w:p w14:paraId="2A13DEB5"/>
    <w:p w14:paraId="540017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 税务总局 工业和信息化部公告2026年第19号 </w:t>
      </w:r>
    </w:p>
    <w:p w14:paraId="0DEBCC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根据《中华人民共和国车船税法》及其实施条例有关规定，现就调整节能汽车、新能源汽车车船税优惠政策有关事项公告如下：</w:t>
      </w:r>
    </w:p>
    <w:p w14:paraId="6711CD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自2027年1月1日起，取消对节能汽车减半征收车船税政策，取消对纯电动商用车、插电式（含增程式）混合动力汽车、燃料电池商用车免征车船税政策；纳税人新取得及本公告实施前已取得的上述类型车辆，应按照《中华人民共和国车船税法》及其实施条例和其他相关规定征收车船税。</w:t>
      </w:r>
    </w:p>
    <w:p w14:paraId="108FD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本公告自2027年1月1日起实施，《财政部 税务总局 工业和信息化部 交通运输部关于节能 新能源车船享受车船税优惠政策的通知》（财税〔2018〕74号）第一条、第二条第（一）项和第（二）项、第三条、第四条、第七条同时废止。</w:t>
      </w:r>
    </w:p>
    <w:p w14:paraId="29756E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特此公告。</w:t>
      </w:r>
    </w:p>
    <w:p w14:paraId="179814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 w:firstLine="48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bookmarkStart w:id="0" w:name="_GoBack"/>
      <w:bookmarkEnd w:id="0"/>
    </w:p>
    <w:p w14:paraId="657644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财政部 税务总局 工业和信息化部</w:t>
      </w:r>
    </w:p>
    <w:p w14:paraId="403C4E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27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2026年7月2日</w:t>
      </w:r>
    </w:p>
    <w:p w14:paraId="470920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2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承诺</cp:lastModifiedBy>
  <dcterms:modified xsi:type="dcterms:W3CDTF">2026-07-06T00:48:44Z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eyJoZGlkIjoiMGRhYzNjZjU0NmIxOTM1MGM3YTEyY2IwMTA4MTJiYWIiLCJ1c2VySWQiOiIzNzY2MDA1MzgifQ==</vt:lpwstr>
  </property>
  <property fmtid="{D5CDD505-2E9C-101B-9397-08002B2CF9AE}" pid="4" name="ICV">
    <vt:lpwstr>0D19371F117A4DFAA218E330045EB70C_12</vt:lpwstr>
  </property>
</Properties>
</file>