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C216A">
      <w:pPr>
        <w:keepNext w:val="0"/>
        <w:keepLines w:val="0"/>
        <w:pageBreakBefore w:val="0"/>
        <w:kinsoku/>
        <w:wordWrap/>
        <w:overflowPunct/>
        <w:topLinePunct w:val="0"/>
        <w:autoSpaceDE/>
        <w:autoSpaceDN/>
        <w:bidi w:val="0"/>
        <w:spacing w:line="560" w:lineRule="exact"/>
        <w:jc w:val="center"/>
        <w:textAlignment w:val="auto"/>
        <w:rPr>
          <w:rFonts w:ascii="宋体" w:hAnsi="宋体" w:cs="宋体"/>
          <w:b/>
          <w:bCs/>
          <w:sz w:val="44"/>
          <w:szCs w:val="44"/>
        </w:rPr>
      </w:pPr>
    </w:p>
    <w:p w14:paraId="4F0D8377">
      <w:pPr>
        <w:keepNext w:val="0"/>
        <w:keepLines w:val="0"/>
        <w:pageBreakBefore w:val="0"/>
        <w:kinsoku/>
        <w:wordWrap/>
        <w:overflowPunct/>
        <w:topLinePunct w:val="0"/>
        <w:autoSpaceDE/>
        <w:autoSpaceDN/>
        <w:bidi w:val="0"/>
        <w:spacing w:line="560" w:lineRule="exact"/>
        <w:jc w:val="center"/>
        <w:textAlignment w:val="auto"/>
        <w:rPr>
          <w:rFonts w:ascii="宋体" w:hAnsi="宋体" w:cs="宋体"/>
          <w:b/>
          <w:bCs/>
          <w:sz w:val="44"/>
          <w:szCs w:val="44"/>
        </w:rPr>
      </w:pPr>
      <w:r>
        <w:rPr>
          <w:rFonts w:hint="eastAsia" w:ascii="宋体" w:hAnsi="宋体" w:cs="宋体"/>
          <w:b/>
          <w:bCs/>
          <w:color w:val="auto"/>
          <w:sz w:val="44"/>
          <w:szCs w:val="44"/>
        </w:rPr>
        <w:t>赵县</w:t>
      </w:r>
      <w:r>
        <w:rPr>
          <w:rFonts w:hint="eastAsia" w:ascii="宋体" w:hAnsi="宋体" w:cs="宋体"/>
          <w:b/>
          <w:bCs/>
          <w:color w:val="auto"/>
          <w:sz w:val="44"/>
          <w:szCs w:val="44"/>
          <w:lang w:eastAsia="zh-CN"/>
        </w:rPr>
        <w:t>自然资源和规划</w:t>
      </w:r>
      <w:r>
        <w:rPr>
          <w:rFonts w:hint="eastAsia" w:ascii="宋体" w:hAnsi="宋体" w:cs="宋体"/>
          <w:b/>
          <w:bCs/>
          <w:color w:val="auto"/>
          <w:sz w:val="44"/>
          <w:szCs w:val="44"/>
        </w:rPr>
        <w:t>局</w:t>
      </w:r>
      <w:r>
        <w:rPr>
          <w:rFonts w:hint="eastAsia" w:ascii="宋体" w:hAnsi="宋体" w:cs="宋体"/>
          <w:b/>
          <w:bCs/>
          <w:sz w:val="44"/>
          <w:szCs w:val="44"/>
        </w:rPr>
        <w:t>部门</w:t>
      </w:r>
    </w:p>
    <w:p w14:paraId="243845F7">
      <w:pPr>
        <w:keepNext w:val="0"/>
        <w:keepLines w:val="0"/>
        <w:pageBreakBefore w:val="0"/>
        <w:kinsoku/>
        <w:wordWrap/>
        <w:overflowPunct/>
        <w:topLinePunct w:val="0"/>
        <w:autoSpaceDE/>
        <w:autoSpaceDN/>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55EDE5A">
      <w:pPr>
        <w:keepNext w:val="0"/>
        <w:keepLines w:val="0"/>
        <w:pageBreakBefore w:val="0"/>
        <w:kinsoku/>
        <w:wordWrap/>
        <w:overflowPunct/>
        <w:topLinePunct w:val="0"/>
        <w:autoSpaceDE/>
        <w:autoSpaceDN/>
        <w:bidi w:val="0"/>
        <w:spacing w:line="560" w:lineRule="exact"/>
        <w:jc w:val="center"/>
        <w:textAlignment w:val="auto"/>
        <w:rPr>
          <w:rFonts w:ascii="华文楷体" w:eastAsia="华文楷体"/>
          <w:sz w:val="32"/>
          <w:szCs w:val="32"/>
        </w:rPr>
      </w:pPr>
    </w:p>
    <w:p w14:paraId="29A6A5E5">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w:t>
      </w:r>
      <w:r>
        <w:rPr>
          <w:rFonts w:hint="eastAsia" w:ascii="仿宋" w:hAnsi="仿宋" w:eastAsia="仿宋"/>
          <w:sz w:val="32"/>
          <w:szCs w:val="32"/>
          <w:lang w:eastAsia="zh-CN"/>
        </w:rPr>
        <w:t>赵县自然资源和规划局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w:t>
      </w:r>
      <w:bookmarkStart w:id="0" w:name="_GoBack"/>
      <w:bookmarkEnd w:id="0"/>
      <w:r>
        <w:rPr>
          <w:rFonts w:hint="eastAsia" w:ascii="仿宋" w:hAnsi="仿宋" w:eastAsia="仿宋"/>
          <w:sz w:val="32"/>
          <w:szCs w:val="32"/>
        </w:rPr>
        <w:t>成本评价报告。</w:t>
      </w:r>
    </w:p>
    <w:p w14:paraId="2007E0FB">
      <w:pPr>
        <w:keepNext w:val="0"/>
        <w:keepLines w:val="0"/>
        <w:pageBreakBefore w:val="0"/>
        <w:kinsoku/>
        <w:wordWrap/>
        <w:overflowPunct/>
        <w:topLinePunct w:val="0"/>
        <w:autoSpaceDE/>
        <w:autoSpaceDN/>
        <w:bidi w:val="0"/>
        <w:adjustRightInd w:val="0"/>
        <w:snapToGrid w:val="0"/>
        <w:spacing w:line="56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E0A40CC">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1744005B">
      <w:pPr>
        <w:keepNext w:val="0"/>
        <w:keepLines w:val="0"/>
        <w:pageBreakBefore w:val="0"/>
        <w:kinsoku/>
        <w:wordWrap/>
        <w:overflowPunct/>
        <w:topLinePunct w:val="0"/>
        <w:autoSpaceDE/>
        <w:autoSpaceDN/>
        <w:bidi w:val="0"/>
        <w:adjustRightInd w:val="0"/>
        <w:snapToGrid w:val="0"/>
        <w:spacing w:line="560" w:lineRule="exact"/>
        <w:ind w:left="0" w:firstLine="640" w:firstLineChars="200"/>
        <w:textAlignment w:val="auto"/>
        <w:rPr>
          <w:rFonts w:ascii="仿宋" w:hAnsi="仿宋" w:eastAsia="仿宋"/>
          <w:sz w:val="32"/>
          <w:szCs w:val="32"/>
        </w:rPr>
      </w:pPr>
      <w:r>
        <w:rPr>
          <w:rFonts w:hint="eastAsia" w:ascii="仿宋" w:hAnsi="仿宋" w:eastAsia="仿宋" w:cs="仿宋"/>
          <w:color w:val="auto"/>
          <w:sz w:val="32"/>
          <w:szCs w:val="32"/>
          <w:lang w:eastAsia="zh-CN"/>
        </w:rPr>
        <w:t>自然资源和规划</w:t>
      </w:r>
      <w:r>
        <w:rPr>
          <w:rFonts w:hint="eastAsia" w:ascii="仿宋" w:hAnsi="仿宋" w:eastAsia="仿宋" w:cs="仿宋"/>
          <w:color w:val="auto"/>
          <w:sz w:val="32"/>
          <w:szCs w:val="32"/>
        </w:rPr>
        <w:t>局是</w:t>
      </w:r>
      <w:r>
        <w:rPr>
          <w:rFonts w:hint="eastAsia" w:ascii="仿宋" w:hAnsi="仿宋" w:eastAsia="仿宋" w:cs="仿宋"/>
          <w:color w:val="auto"/>
          <w:sz w:val="32"/>
          <w:szCs w:val="32"/>
        </w:rPr>
        <w:fldChar w:fldCharType="begin"/>
      </w:r>
      <w:r>
        <w:instrText xml:space="preserve">HYPERLINK "https://baike.baidu.com/item/%E6%94%BF%E5%BA%9C/1416952"</w:instrText>
      </w:r>
      <w:r>
        <w:rPr>
          <w:rFonts w:hint="eastAsia" w:ascii="仿宋" w:hAnsi="仿宋" w:eastAsia="仿宋" w:cs="仿宋"/>
          <w:color w:val="auto"/>
          <w:sz w:val="32"/>
          <w:szCs w:val="32"/>
        </w:rPr>
        <w:fldChar w:fldCharType="separate"/>
      </w:r>
      <w:r>
        <w:rPr>
          <w:rFonts w:hint="eastAsia" w:ascii="仿宋" w:hAnsi="仿宋" w:eastAsia="仿宋" w:cs="仿宋"/>
          <w:color w:val="auto"/>
          <w:sz w:val="32"/>
          <w:szCs w:val="32"/>
        </w:rPr>
        <w:t>政府</w:t>
      </w:r>
      <w:r>
        <w:rPr>
          <w:rFonts w:hint="eastAsia" w:ascii="仿宋" w:hAnsi="仿宋" w:eastAsia="仿宋" w:cs="仿宋"/>
          <w:color w:val="auto"/>
          <w:sz w:val="32"/>
          <w:szCs w:val="32"/>
        </w:rPr>
        <w:fldChar w:fldCharType="end"/>
      </w:r>
      <w:r>
        <w:rPr>
          <w:rFonts w:hint="eastAsia" w:ascii="仿宋" w:hAnsi="仿宋" w:eastAsia="仿宋" w:cs="仿宋"/>
          <w:color w:val="auto"/>
          <w:sz w:val="32"/>
          <w:szCs w:val="32"/>
        </w:rPr>
        <w:t>主管的职能部门，履行全民所有土地、矿产、湿地、水等自然资源资产所有者职责和所有国土空间用途管制职责</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负责自然资源调查监测评价成果的监督管理和信息发布。负责全县自然资源统一确权登记工作。负责全县自然资源资产有偿使用工作。负责全县自然资源的合理开发利用。负责建立全县空间规划体系并监督实施。负责统筹全县国土空间生态修复。负责组织实施最严格的耕地保护制度。负责全县陆生野生动植物的资源保护工作和救护繁育、栖息地恢复发展，监督管理陆生野生动植物猎捕或采集、驯养繁殖或培植、经营利用。负责推进全县集体林权制度、国有林场等改革工作，负责农村林业发展、维护林业经营者合法权益，指导监督农村林地(不舍水果)承包经营工作。组织开展林木种子、草种种质资源普查，组织建立种质资源库，负责良种选育推广，管理林木种苗、草种生产经营行为，监管林木种苗、草种质量；监督管理林业生物种质资源、转基因生物安全、植物新品种保护工作</w:t>
      </w:r>
      <w:r>
        <w:rPr>
          <w:rFonts w:hint="eastAsia" w:ascii="仿宋" w:hAnsi="仿宋" w:eastAsia="仿宋" w:cs="仿宋"/>
          <w:color w:val="auto"/>
          <w:sz w:val="32"/>
          <w:szCs w:val="32"/>
          <w:lang w:eastAsia="zh-CN"/>
        </w:rPr>
        <w:t>等工作</w:t>
      </w:r>
      <w:r>
        <w:rPr>
          <w:rFonts w:hint="eastAsia" w:ascii="仿宋" w:hAnsi="仿宋" w:eastAsia="仿宋" w:cs="仿宋"/>
          <w:sz w:val="32"/>
          <w:szCs w:val="32"/>
        </w:rPr>
        <w:t>。</w:t>
      </w:r>
    </w:p>
    <w:p w14:paraId="794BCD1D">
      <w:pPr>
        <w:keepNext w:val="0"/>
        <w:keepLines w:val="0"/>
        <w:pageBreakBefore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DE1C777">
      <w:pPr>
        <w:keepNext w:val="0"/>
        <w:keepLines w:val="0"/>
        <w:pageBreakBefore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hint="eastAsia" w:ascii="楷体" w:hAnsi="楷体" w:eastAsia="楷体" w:cs="楷体_GB2312"/>
          <w:bCs/>
          <w:color w:val="auto"/>
          <w:sz w:val="32"/>
          <w:szCs w:val="32"/>
        </w:rPr>
      </w:pPr>
      <w:r>
        <w:rPr>
          <w:rFonts w:hint="eastAsia" w:ascii="仿宋" w:hAnsi="仿宋" w:eastAsia="仿宋" w:cs="仿宋"/>
          <w:bCs/>
          <w:color w:val="auto"/>
          <w:sz w:val="32"/>
          <w:szCs w:val="32"/>
        </w:rPr>
        <w:t>本</w:t>
      </w:r>
      <w:r>
        <w:rPr>
          <w:rFonts w:ascii="仿宋" w:hAnsi="仿宋" w:eastAsia="仿宋" w:cs="仿宋"/>
          <w:bCs/>
          <w:color w:val="auto"/>
          <w:sz w:val="32"/>
          <w:szCs w:val="32"/>
        </w:rPr>
        <w:t>部门</w:t>
      </w:r>
      <w:r>
        <w:rPr>
          <w:rFonts w:hint="eastAsia" w:ascii="仿宋" w:hAnsi="仿宋" w:eastAsia="仿宋" w:cs="仿宋"/>
          <w:bCs/>
          <w:color w:val="auto"/>
          <w:sz w:val="32"/>
          <w:szCs w:val="32"/>
        </w:rPr>
        <w:t>202</w:t>
      </w:r>
      <w:r>
        <w:rPr>
          <w:rFonts w:hint="eastAsia" w:ascii="仿宋" w:hAnsi="仿宋" w:eastAsia="仿宋" w:cs="仿宋"/>
          <w:bCs/>
          <w:color w:val="auto"/>
          <w:sz w:val="32"/>
          <w:szCs w:val="32"/>
          <w:lang w:val="en-US" w:eastAsia="zh-CN"/>
        </w:rPr>
        <w:t>5</w:t>
      </w:r>
      <w:r>
        <w:rPr>
          <w:rFonts w:hint="eastAsia" w:ascii="仿宋" w:hAnsi="仿宋" w:eastAsia="仿宋" w:cs="仿宋"/>
          <w:bCs/>
          <w:color w:val="auto"/>
          <w:sz w:val="32"/>
          <w:szCs w:val="32"/>
        </w:rPr>
        <w:t>年度预算收入</w:t>
      </w:r>
      <w:r>
        <w:rPr>
          <w:rFonts w:hint="eastAsia" w:ascii="仿宋" w:hAnsi="仿宋" w:eastAsia="仿宋" w:cs="仿宋"/>
          <w:bCs/>
          <w:color w:val="auto"/>
          <w:sz w:val="32"/>
          <w:szCs w:val="32"/>
          <w:lang w:val="en-US" w:eastAsia="zh-CN"/>
        </w:rPr>
        <w:t>11010.08</w:t>
      </w:r>
      <w:r>
        <w:rPr>
          <w:rFonts w:hint="eastAsia" w:ascii="仿宋" w:hAnsi="仿宋" w:eastAsia="仿宋" w:cs="仿宋"/>
          <w:bCs/>
          <w:color w:val="auto"/>
          <w:sz w:val="32"/>
          <w:szCs w:val="32"/>
        </w:rPr>
        <w:t>万元</w:t>
      </w:r>
      <w:r>
        <w:rPr>
          <w:rFonts w:ascii="仿宋" w:hAnsi="仿宋" w:eastAsia="仿宋" w:cs="仿宋"/>
          <w:bCs/>
          <w:color w:val="auto"/>
          <w:sz w:val="32"/>
          <w:szCs w:val="32"/>
        </w:rPr>
        <w:t>，部门支出预算为</w:t>
      </w:r>
      <w:r>
        <w:rPr>
          <w:rFonts w:hint="eastAsia" w:ascii="仿宋" w:hAnsi="仿宋" w:eastAsia="仿宋" w:cs="仿宋"/>
          <w:bCs/>
          <w:color w:val="auto"/>
          <w:sz w:val="32"/>
          <w:szCs w:val="32"/>
          <w:lang w:val="en-US" w:eastAsia="zh-CN"/>
        </w:rPr>
        <w:t>11010.08</w:t>
      </w:r>
      <w:r>
        <w:rPr>
          <w:rFonts w:hint="eastAsia" w:ascii="仿宋" w:hAnsi="仿宋" w:eastAsia="仿宋" w:cs="仿宋"/>
          <w:bCs/>
          <w:color w:val="auto"/>
          <w:sz w:val="32"/>
          <w:szCs w:val="32"/>
        </w:rPr>
        <w:t>万元。202</w:t>
      </w:r>
      <w:r>
        <w:rPr>
          <w:rFonts w:hint="eastAsia" w:ascii="仿宋" w:hAnsi="仿宋" w:eastAsia="仿宋" w:cs="仿宋"/>
          <w:bCs/>
          <w:color w:val="auto"/>
          <w:sz w:val="32"/>
          <w:szCs w:val="32"/>
          <w:lang w:val="en-US" w:eastAsia="zh-CN"/>
        </w:rPr>
        <w:t>5</w:t>
      </w:r>
      <w:r>
        <w:rPr>
          <w:rFonts w:hint="eastAsia" w:ascii="仿宋" w:hAnsi="仿宋" w:eastAsia="仿宋" w:cs="仿宋"/>
          <w:bCs/>
          <w:color w:val="auto"/>
          <w:sz w:val="32"/>
          <w:szCs w:val="32"/>
        </w:rPr>
        <w:t>年</w:t>
      </w:r>
      <w:r>
        <w:rPr>
          <w:rFonts w:ascii="仿宋" w:hAnsi="仿宋" w:eastAsia="仿宋" w:cs="仿宋"/>
          <w:bCs/>
          <w:color w:val="auto"/>
          <w:sz w:val="32"/>
          <w:szCs w:val="32"/>
        </w:rPr>
        <w:t>部门决算</w:t>
      </w:r>
      <w:r>
        <w:rPr>
          <w:rFonts w:hint="eastAsia" w:ascii="仿宋" w:hAnsi="仿宋" w:eastAsia="仿宋" w:cs="仿宋"/>
          <w:bCs/>
          <w:color w:val="auto"/>
          <w:sz w:val="32"/>
          <w:szCs w:val="32"/>
        </w:rPr>
        <w:t>收入</w:t>
      </w:r>
      <w:r>
        <w:rPr>
          <w:rFonts w:hint="eastAsia" w:ascii="仿宋" w:hAnsi="仿宋" w:eastAsia="仿宋" w:cs="仿宋"/>
          <w:bCs/>
          <w:color w:val="auto"/>
          <w:sz w:val="32"/>
          <w:szCs w:val="32"/>
          <w:lang w:val="en-US" w:eastAsia="zh-CN"/>
        </w:rPr>
        <w:t>13169.33</w:t>
      </w:r>
      <w:r>
        <w:rPr>
          <w:rFonts w:hint="eastAsia" w:ascii="仿宋" w:hAnsi="仿宋" w:eastAsia="仿宋" w:cs="仿宋"/>
          <w:bCs/>
          <w:color w:val="auto"/>
          <w:sz w:val="32"/>
          <w:szCs w:val="32"/>
        </w:rPr>
        <w:t>万元</w:t>
      </w:r>
      <w:r>
        <w:rPr>
          <w:rFonts w:ascii="仿宋" w:hAnsi="仿宋" w:eastAsia="仿宋" w:cs="仿宋"/>
          <w:bCs/>
          <w:color w:val="auto"/>
          <w:sz w:val="32"/>
          <w:szCs w:val="32"/>
        </w:rPr>
        <w:t>，部门支出决算为</w:t>
      </w:r>
      <w:r>
        <w:rPr>
          <w:rFonts w:hint="eastAsia" w:ascii="仿宋" w:hAnsi="仿宋" w:eastAsia="仿宋" w:cs="仿宋"/>
          <w:bCs/>
          <w:color w:val="auto"/>
          <w:sz w:val="32"/>
          <w:szCs w:val="32"/>
          <w:lang w:val="en-US" w:eastAsia="zh-CN"/>
        </w:rPr>
        <w:t>13169.33</w:t>
      </w:r>
      <w:r>
        <w:rPr>
          <w:rFonts w:hint="eastAsia" w:ascii="仿宋" w:hAnsi="仿宋" w:eastAsia="仿宋" w:cs="仿宋"/>
          <w:bCs/>
          <w:color w:val="auto"/>
          <w:sz w:val="32"/>
          <w:szCs w:val="32"/>
        </w:rPr>
        <w:t>万元。</w:t>
      </w:r>
    </w:p>
    <w:p w14:paraId="08A17BC9">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FD93004">
      <w:pPr>
        <w:keepNext w:val="0"/>
        <w:keepLines w:val="0"/>
        <w:pageBreakBefore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ascii="仿宋" w:hAnsi="仿宋" w:eastAsia="仿宋" w:cs="仿宋"/>
          <w:sz w:val="32"/>
          <w:szCs w:val="32"/>
          <w:lang w:eastAsia="zh-CN" w:bidi="ar-SA"/>
        </w:rPr>
      </w:pPr>
      <w:r>
        <w:rPr>
          <w:rFonts w:hint="eastAsia" w:ascii="仿宋" w:hAnsi="仿宋" w:eastAsia="仿宋"/>
          <w:sz w:val="32"/>
          <w:szCs w:val="32"/>
        </w:rPr>
        <w:t>预算绩效文本中绩效目标、指标</w:t>
      </w:r>
      <w:r>
        <w:rPr>
          <w:rFonts w:hint="eastAsia" w:ascii="仿宋" w:hAnsi="仿宋" w:eastAsia="仿宋" w:cs="仿宋"/>
          <w:sz w:val="32"/>
          <w:szCs w:val="32"/>
          <w:lang w:eastAsia="zh-CN" w:bidi="ar-SA"/>
        </w:rPr>
        <w:t>部门整体支出绩效目标，主要包括县级财政绩效考核指标、预决算公开、存量资金管理、资产管理、三公经费控制等设定及完成情况，项目绩效总目标和阶段性目标完成情况及预期经济、社会效益等。</w:t>
      </w:r>
    </w:p>
    <w:p w14:paraId="31D8DD7B">
      <w:pPr>
        <w:keepNext w:val="0"/>
        <w:keepLines w:val="0"/>
        <w:pageBreakBefore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ascii="仿宋" w:hAnsi="仿宋" w:eastAsia="仿宋"/>
          <w:sz w:val="32"/>
          <w:szCs w:val="32"/>
        </w:rPr>
      </w:pPr>
      <w:r>
        <w:rPr>
          <w:rFonts w:hint="eastAsia" w:ascii="仿宋" w:hAnsi="仿宋" w:eastAsia="仿宋" w:cs="仿宋"/>
          <w:sz w:val="32"/>
          <w:szCs w:val="32"/>
          <w:lang w:eastAsia="zh-CN" w:bidi="ar-SA"/>
        </w:rPr>
        <w:t>我单位完成了</w:t>
      </w:r>
      <w:r>
        <w:rPr>
          <w:rFonts w:hint="eastAsia" w:ascii="仿宋" w:hAnsi="仿宋" w:eastAsia="仿宋" w:cs="仿宋"/>
          <w:sz w:val="32"/>
          <w:szCs w:val="32"/>
          <w:lang w:val="en-US" w:eastAsia="zh-CN" w:bidi="ar-SA"/>
        </w:rPr>
        <w:t>2025年初制定的工作任务，各项工作保证有序较好的开展。按照财政资金管理的要求，严格执行会计制度和财务制度，确保专款专用。加强各项支出管理、审批。2025年我单位项目总体执行情况较好，能按照年初制定的计划完成，制定的绩效目标基本实现，质量、社会效益、群众满意度等各项指标都有显著效果。</w:t>
      </w:r>
    </w:p>
    <w:p w14:paraId="5DA2FB68">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5A8F8188">
      <w:pPr>
        <w:keepNext w:val="0"/>
        <w:keepLines w:val="0"/>
        <w:pageBreakBefore w:val="0"/>
        <w:kinsoku/>
        <w:wordWrap/>
        <w:overflowPunct/>
        <w:topLinePunct w:val="0"/>
        <w:autoSpaceDE/>
        <w:autoSpaceDN/>
        <w:bidi w:val="0"/>
        <w:spacing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AB64042">
      <w:pPr>
        <w:keepNext w:val="0"/>
        <w:keepLines w:val="0"/>
        <w:pageBreakBefore w:val="0"/>
        <w:kinsoku/>
        <w:wordWrap/>
        <w:overflowPunct/>
        <w:topLinePunct w:val="0"/>
        <w:autoSpaceDE/>
        <w:autoSpaceDN/>
        <w:bidi w:val="0"/>
        <w:spacing w:beforeAutospacing="0" w:afterAutospacing="0" w:line="560" w:lineRule="exact"/>
        <w:ind w:left="0"/>
        <w:textAlignment w:val="auto"/>
        <w:rPr>
          <w:rFonts w:ascii="仿宋" w:hAnsi="仿宋" w:eastAsia="仿宋" w:cs="仿宋"/>
          <w:color w:val="auto"/>
          <w:sz w:val="32"/>
          <w:szCs w:val="32"/>
        </w:rPr>
      </w:pPr>
      <w:r>
        <w:rPr>
          <w:rFonts w:hint="eastAsia" w:ascii="仿宋" w:hAnsi="仿宋" w:eastAsia="仿宋"/>
          <w:sz w:val="32"/>
          <w:szCs w:val="32"/>
        </w:rPr>
        <w:t xml:space="preserve">     </w:t>
      </w:r>
      <w:r>
        <w:rPr>
          <w:rFonts w:hint="eastAsia" w:ascii="仿宋" w:hAnsi="仿宋" w:eastAsia="仿宋" w:cs="仿宋"/>
          <w:color w:val="auto"/>
          <w:sz w:val="32"/>
          <w:szCs w:val="32"/>
        </w:rPr>
        <w:t>为保证绩效评价工作顺利开展，我单位成立了以</w:t>
      </w:r>
      <w:r>
        <w:rPr>
          <w:rFonts w:ascii="仿宋" w:hAnsi="仿宋" w:eastAsia="仿宋" w:cs="仿宋"/>
          <w:color w:val="auto"/>
          <w:sz w:val="32"/>
          <w:szCs w:val="32"/>
          <w:lang w:eastAsia="zh-CN"/>
        </w:rPr>
        <w:t>孟涛</w:t>
      </w:r>
      <w:r>
        <w:rPr>
          <w:rFonts w:hint="eastAsia" w:ascii="仿宋" w:hAnsi="仿宋" w:eastAsia="仿宋" w:cs="仿宋"/>
          <w:color w:val="auto"/>
          <w:sz w:val="32"/>
          <w:szCs w:val="32"/>
        </w:rPr>
        <w:t>为组长的绩效评价工作小组，各科室负责人为成员，负责绩效评价的组织管理和实施工作。</w:t>
      </w:r>
    </w:p>
    <w:p w14:paraId="02F64917">
      <w:pPr>
        <w:keepNext w:val="0"/>
        <w:keepLines w:val="0"/>
        <w:pageBreakBefore w:val="0"/>
        <w:numPr>
          <w:ilvl w:val="0"/>
          <w:numId w:val="2"/>
        </w:numPr>
        <w:kinsoku/>
        <w:wordWrap/>
        <w:overflowPunct/>
        <w:topLinePunct w:val="0"/>
        <w:autoSpaceDE/>
        <w:autoSpaceDN/>
        <w:bidi w:val="0"/>
        <w:spacing w:line="56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55C9210">
      <w:pPr>
        <w:keepNext w:val="0"/>
        <w:keepLines w:val="0"/>
        <w:pageBreakBefore w:val="0"/>
        <w:kinsoku/>
        <w:wordWrap/>
        <w:overflowPunct/>
        <w:topLinePunct w:val="0"/>
        <w:autoSpaceDE/>
        <w:autoSpaceDN/>
        <w:bidi w:val="0"/>
        <w:spacing w:beforeAutospacing="0" w:afterAutospacing="0" w:line="560" w:lineRule="exact"/>
        <w:ind w:left="0" w:firstLine="892" w:firstLineChars="279"/>
        <w:textAlignment w:val="auto"/>
        <w:rPr>
          <w:rFonts w:ascii="楷体" w:hAnsi="楷体" w:eastAsia="楷体" w:cs="楷体_GB2312"/>
          <w:bCs/>
          <w:sz w:val="32"/>
          <w:szCs w:val="32"/>
        </w:rPr>
      </w:pPr>
      <w:r>
        <w:rPr>
          <w:rFonts w:hint="eastAsia" w:ascii="仿宋" w:hAnsi="仿宋" w:eastAsia="仿宋" w:cs="仿宋"/>
          <w:color w:val="auto"/>
          <w:sz w:val="32"/>
          <w:szCs w:val="32"/>
        </w:rPr>
        <w:t>自评工作组对照工作方案坚持以资金使用效果为导向，逐个对我局202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年项目进行考核评价。一是前期准备工作，首先按照绩效评价工作要求，明确绩效评价的内容和范围，初步制定绩效评价工作方案。其次是对我单位202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年各项预算项目资金单独进行打分自评。二是组织实施工作，评价工作小组对我单位202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度绩效的相关资料从年初录入项目库进行收集、整理。首先通过分析、核实、确保所收集的资料和数据真实并形成清单，其次，财务科与相关业务科室沟通过程中，直接对照资料清单进行核实，确保已提交和待补充的资料名称、存在的问题及重点信息同时展现。三是撰写绩效评价报告，绩效评价小组成员在对收集的数据、资料进行核实、比较、计算的基础上，对比年度绩效目标，形成评价结论，根据评价结论撰写评价报告。我局按照依法理财、明确责任，讲求实效的管理办法对我局财务预算管理、现金管理、经费收支审批等方面都制定了相关规章制度。</w:t>
      </w:r>
    </w:p>
    <w:p w14:paraId="02B72BEF">
      <w:pPr>
        <w:keepNext w:val="0"/>
        <w:keepLines w:val="0"/>
        <w:pageBreakBefore w:val="0"/>
        <w:kinsoku/>
        <w:wordWrap/>
        <w:overflowPunct/>
        <w:topLinePunct w:val="0"/>
        <w:autoSpaceDE/>
        <w:autoSpaceDN/>
        <w:bidi w:val="0"/>
        <w:spacing w:line="56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8D1D16D">
      <w:pPr>
        <w:keepNext w:val="0"/>
        <w:keepLines w:val="0"/>
        <w:pageBreakBefore w:val="0"/>
        <w:numPr>
          <w:ilvl w:val="0"/>
          <w:numId w:val="3"/>
        </w:numPr>
        <w:kinsoku/>
        <w:wordWrap/>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C61A7A6">
      <w:pPr>
        <w:keepNext w:val="0"/>
        <w:keepLines w:val="0"/>
        <w:pageBreakBefore w:val="0"/>
        <w:kinsoku/>
        <w:wordWrap/>
        <w:overflowPunct/>
        <w:topLinePunct w:val="0"/>
        <w:autoSpaceDE/>
        <w:autoSpaceDN/>
        <w:bidi w:val="0"/>
        <w:spacing w:beforeAutospacing="0" w:afterAutospacing="0" w:line="560" w:lineRule="exact"/>
        <w:ind w:left="0" w:firstLine="800" w:firstLineChars="250"/>
        <w:textAlignment w:val="auto"/>
        <w:rPr>
          <w:rFonts w:ascii="仿宋" w:hAnsi="仿宋" w:eastAsia="仿宋" w:cs="仿宋"/>
          <w:sz w:val="32"/>
          <w:szCs w:val="32"/>
          <w:lang w:val="en-US" w:eastAsia="zh-CN" w:bidi="ar-SA"/>
        </w:rPr>
      </w:pPr>
      <w:r>
        <w:rPr>
          <w:rFonts w:hint="eastAsia" w:ascii="仿宋" w:hAnsi="仿宋" w:eastAsia="仿宋"/>
          <w:sz w:val="32"/>
          <w:szCs w:val="32"/>
        </w:rPr>
        <w:t>总体绩效目标</w:t>
      </w:r>
      <w:r>
        <w:rPr>
          <w:rFonts w:ascii="仿宋" w:hAnsi="仿宋" w:eastAsia="仿宋"/>
          <w:sz w:val="32"/>
          <w:szCs w:val="32"/>
        </w:rPr>
        <w:t>对</w:t>
      </w:r>
      <w:r>
        <w:rPr>
          <w:rFonts w:hint="eastAsia" w:ascii="仿宋" w:hAnsi="仿宋" w:eastAsia="仿宋" w:cs="仿宋"/>
          <w:sz w:val="32"/>
          <w:szCs w:val="32"/>
          <w:lang w:val="en-US" w:eastAsia="zh-CN" w:bidi="ar-SA"/>
        </w:rPr>
        <w:t>各项工作保证有序较好的开展。按照财政资金管理的要求，严格执行会计制度和财务制度，确保专款专用。加强各项支出管理、审批。</w:t>
      </w:r>
      <w:r>
        <w:rPr>
          <w:rFonts w:hint="eastAsia" w:ascii="仿宋" w:hAnsi="仿宋" w:eastAsia="仿宋" w:cs="仿宋"/>
          <w:color w:val="auto"/>
          <w:sz w:val="32"/>
          <w:szCs w:val="32"/>
        </w:rPr>
        <w:t>组织实施土地使用权出让、租赁、作价出资、转让、交易和政府收购管理办法。</w:t>
      </w:r>
    </w:p>
    <w:p w14:paraId="4503A578">
      <w:pPr>
        <w:keepNext w:val="0"/>
        <w:keepLines w:val="0"/>
        <w:pageBreakBefore w:val="0"/>
        <w:kinsoku/>
        <w:wordWrap/>
        <w:overflowPunct/>
        <w:topLinePunct w:val="0"/>
        <w:autoSpaceDE/>
        <w:autoSpaceDN/>
        <w:bidi w:val="0"/>
        <w:spacing w:line="56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57D5332">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1.产出指标完成情况分析。</w:t>
      </w:r>
    </w:p>
    <w:p w14:paraId="18DE8DA9">
      <w:pPr>
        <w:keepNext w:val="0"/>
        <w:keepLines w:val="0"/>
        <w:pageBreakBefore w:val="0"/>
        <w:kinsoku/>
        <w:wordWrap/>
        <w:overflowPunct/>
        <w:topLinePunct w:val="0"/>
        <w:autoSpaceDE/>
        <w:autoSpaceDN/>
        <w:bidi w:val="0"/>
        <w:spacing w:beforeAutospacing="0" w:afterAutospacing="0" w:line="560" w:lineRule="exact"/>
        <w:ind w:left="0" w:firstLine="480" w:firstLineChars="15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1）实现全县农村集体土地确权登记发证和不动产登记业务流程的信息化和规范化；掌握全县耕地后备资源的分布情况，为后续资源的利用奠定基础,对全县地价和土地市场进行动态监测，为县政府宏观调控和稳定土地市场提供决策依据；掌握评价土地利用现状和节约集约程度，为科学管地用地提供依据。为矿产开发管理工作和矿业经济分析提供数据基础；保证矿产资源开发利用方案的科学、合理、有效，把好资源开发利用的源头关；推进矿产资源合理勘查，减低勘查投资风险。加强我县基础地质和地质找矿工作，服务地质勘查行业，提高我县经济和社会发展资源保障程度，引导社会资本有序投入地质勘查，推进地质勘查项目管理管能力。为矿产资源管理提供储量依据，维护国家矿产资源所有权益，掌控资源储量家底，提供宏观调控依据，为建设项目选址和压覆矿产资源调查提供决策依据，提高矿产资源综合利用能力，保护重要地质资料成果，降低地质工作风险，减少重复工作和资金浪费。掌握全县矿山环境动态变化，为矿山24环境保护与管理提供基础数据；推进矿山环境治理攻坚行动有序开展；对重要地质遗迹进行有效保护。提高地质灾害预警预报水平；做好汛期地质灾害防治工作，确保人民生命财产安全；为做好地质灾害防治工作提供科学依据</w:t>
      </w:r>
      <w:r>
        <w:rPr>
          <w:rFonts w:hint="eastAsia" w:ascii="仿宋" w:hAnsi="仿宋" w:eastAsia="仿宋" w:cs="仿宋"/>
          <w:color w:val="auto"/>
          <w:sz w:val="32"/>
          <w:szCs w:val="32"/>
          <w:lang w:eastAsia="zh-CN"/>
        </w:rPr>
        <w:t>。</w:t>
      </w:r>
    </w:p>
    <w:p w14:paraId="322CA0D1">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（2）项目完成质量。</w:t>
      </w:r>
      <w:r>
        <w:rPr>
          <w:rFonts w:hint="eastAsia" w:ascii="仿宋" w:hAnsi="仿宋" w:eastAsia="仿宋" w:cs="仿宋"/>
          <w:color w:val="auto"/>
          <w:sz w:val="32"/>
          <w:szCs w:val="32"/>
          <w:lang w:eastAsia="zh-CN"/>
        </w:rPr>
        <w:t>保证</w:t>
      </w:r>
      <w:r>
        <w:rPr>
          <w:rFonts w:hint="eastAsia" w:ascii="仿宋" w:hAnsi="仿宋" w:eastAsia="仿宋" w:cs="仿宋"/>
          <w:color w:val="auto"/>
          <w:sz w:val="32"/>
          <w:szCs w:val="32"/>
        </w:rPr>
        <w:t>基本农田保护和土地整理、复垦、开发工作，监测耕地质量等边变化，研究耕地保护相关制度。开展农村集体土地确权登记发证与土地变更调查，组织全县的不动产统一登记工作，调查掌握全县耕地后备资源。实施农地用途管制，组织基本农田保护，土地整理、土地开发复垦工作。管理全县地籍工作，实施地籍管理办法；住址土地资源调查、地籍调查、土地统计和动态监测；负责土地确权、林业确权、土地纠纷调处、城乡地籍、土地定级和登记、发证等工作。按规定组织实施土地使用权出让、租赁、作价出资、转让、交易和政府收购管理办法。</w:t>
      </w:r>
    </w:p>
    <w:p w14:paraId="34ECAE18">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（3）项目实施进度。全县土地资源规划执行情况；依法保护土地资源所有者和使用者的合法权益。</w:t>
      </w:r>
    </w:p>
    <w:p w14:paraId="4A91C3B9">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（4）项目成本节约情况。项目成本（预算）使用合理，无超支。</w:t>
      </w:r>
    </w:p>
    <w:p w14:paraId="089675B7">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2.效益指标完成情况分析。</w:t>
      </w:r>
    </w:p>
    <w:p w14:paraId="1D5C7E04">
      <w:pPr>
        <w:keepNext w:val="0"/>
        <w:keepLines w:val="0"/>
        <w:pageBreakBefore w:val="0"/>
        <w:widowControl/>
        <w:shd w:val="clear" w:color="auto" w:fill="FFFFFF"/>
        <w:kinsoku/>
        <w:wordWrap/>
        <w:overflowPunct/>
        <w:topLinePunct w:val="0"/>
        <w:autoSpaceDE/>
        <w:autoSpaceDN/>
        <w:bidi w:val="0"/>
        <w:spacing w:beforeAutospacing="0" w:afterAutospacing="0" w:line="560" w:lineRule="exact"/>
        <w:ind w:left="0" w:firstLine="48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（1）项目实施的社会效益分析。</w:t>
      </w:r>
      <w:r>
        <w:rPr>
          <w:rFonts w:hint="eastAsia" w:ascii="仿宋" w:hAnsi="仿宋" w:eastAsia="仿宋" w:cs="仿宋"/>
          <w:color w:val="auto"/>
          <w:kern w:val="0"/>
          <w:sz w:val="32"/>
          <w:szCs w:val="32"/>
        </w:rPr>
        <w:t>该项目做到了管理规范，程序到位，群众满意，社会反响好，取得了巨大的社会效益，维护了社会的稳定。</w:t>
      </w:r>
    </w:p>
    <w:p w14:paraId="57540BC9">
      <w:pPr>
        <w:keepNext w:val="0"/>
        <w:keepLines w:val="0"/>
        <w:pageBreakBefore w:val="0"/>
        <w:widowControl/>
        <w:shd w:val="clear" w:color="auto" w:fill="FFFFFF"/>
        <w:kinsoku/>
        <w:wordWrap/>
        <w:overflowPunct/>
        <w:topLinePunct w:val="0"/>
        <w:autoSpaceDE/>
        <w:autoSpaceDN/>
        <w:bidi w:val="0"/>
        <w:spacing w:beforeAutospacing="0" w:afterAutospacing="0" w:line="560" w:lineRule="exact"/>
        <w:ind w:left="0" w:firstLine="480"/>
        <w:textAlignment w:val="auto"/>
        <w:rPr>
          <w:rFonts w:hint="eastAsia" w:ascii="仿宋" w:hAnsi="仿宋" w:eastAsia="仿宋" w:cs="仿宋"/>
          <w:color w:val="auto"/>
          <w:kern w:val="0"/>
          <w:sz w:val="32"/>
          <w:szCs w:val="32"/>
        </w:rPr>
      </w:pPr>
      <w:r>
        <w:rPr>
          <w:rFonts w:hint="eastAsia" w:ascii="仿宋" w:hAnsi="仿宋" w:eastAsia="仿宋" w:cs="仿宋"/>
          <w:color w:val="auto"/>
          <w:sz w:val="32"/>
          <w:szCs w:val="32"/>
        </w:rPr>
        <w:t>（2）项目实施的可持续影响分析。</w:t>
      </w:r>
      <w:r>
        <w:rPr>
          <w:rFonts w:hint="eastAsia" w:ascii="仿宋" w:hAnsi="仿宋" w:eastAsia="仿宋" w:cs="仿宋"/>
          <w:color w:val="auto"/>
          <w:kern w:val="0"/>
          <w:sz w:val="32"/>
          <w:szCs w:val="32"/>
        </w:rPr>
        <w:t>缓解了困难群众的基本生活问题，促进了社会公平正义与和谐进步</w:t>
      </w:r>
      <w:r>
        <w:rPr>
          <w:rFonts w:hint="eastAsia" w:ascii="仿宋" w:hAnsi="仿宋" w:eastAsia="仿宋" w:cs="仿宋"/>
          <w:color w:val="auto"/>
          <w:sz w:val="32"/>
          <w:szCs w:val="32"/>
        </w:rPr>
        <w:t>。</w:t>
      </w:r>
    </w:p>
    <w:p w14:paraId="0AFA7FDF">
      <w:pPr>
        <w:keepNext w:val="0"/>
        <w:keepLines w:val="0"/>
        <w:pageBreakBefore w:val="0"/>
        <w:kinsoku/>
        <w:wordWrap/>
        <w:overflowPunct/>
        <w:topLinePunct w:val="0"/>
        <w:autoSpaceDE/>
        <w:autoSpaceDN/>
        <w:bidi w:val="0"/>
        <w:spacing w:beforeAutospacing="0" w:afterAutospacing="0" w:line="560" w:lineRule="exact"/>
        <w:ind w:left="0" w:firstLine="800" w:firstLineChars="250"/>
        <w:textAlignment w:val="auto"/>
        <w:rPr>
          <w:rFonts w:hint="eastAsia" w:ascii="仿宋" w:hAnsi="仿宋" w:eastAsia="仿宋" w:cs="仿宋"/>
          <w:sz w:val="32"/>
          <w:szCs w:val="32"/>
          <w:shd w:val="solid" w:color="FF0000" w:fill="FFFFFF"/>
        </w:rPr>
      </w:pPr>
      <w:r>
        <w:rPr>
          <w:rFonts w:hint="eastAsia" w:ascii="仿宋" w:hAnsi="仿宋" w:eastAsia="仿宋" w:cs="仿宋"/>
          <w:color w:val="auto"/>
          <w:sz w:val="32"/>
          <w:szCs w:val="32"/>
        </w:rPr>
        <w:t>3.满意度指标完成情况分析。实施耕地特殊保护和鼓励耕地开发政策；实施农地用途管制，组织基本农田保护，土地整理、土地开发复垦工作。管理全县地籍工作，实施地籍管理办法；住址土地资源调查、地籍调查、土地统计和动态监测；负责土地确权、林业确权、土地纠纷调处、城乡地籍、土地定级和登记、发证等工作。组织实施土地使用权出让、租赁、作价出资、转让、交易和政府收购管理办法。负责对外提供测绘成果；实施基础地理信息社会化服务；组织并监督全县测绘基础设施建设，管理全县测量标志工作。</w:t>
      </w:r>
    </w:p>
    <w:p w14:paraId="2E3A496D">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7EA6B23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93</w:t>
      </w:r>
      <w:r>
        <w:rPr>
          <w:rFonts w:hint="eastAsia" w:ascii="仿宋" w:hAnsi="仿宋" w:eastAsia="仿宋"/>
          <w:sz w:val="32"/>
          <w:szCs w:val="32"/>
        </w:rPr>
        <w:t>分，得出综合绩效评价等级。</w:t>
      </w:r>
    </w:p>
    <w:p w14:paraId="05F49016">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5A1C1EF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4C6ACD1D">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仿宋" w:hAnsi="仿宋" w:eastAsia="仿宋" w:cs="仿宋"/>
          <w:sz w:val="32"/>
          <w:szCs w:val="32"/>
        </w:rPr>
        <w:t>在建立项目库时存在的不够严谨精细，评价设定环节不够简单易懂、科学性、通俗性的问题对各项绩效目标设定不够清晰准确，在完整性上还有修改</w:t>
      </w:r>
      <w:r>
        <w:rPr>
          <w:rFonts w:hint="eastAsia" w:ascii="仿宋" w:hAnsi="仿宋" w:eastAsia="仿宋" w:cs="仿宋"/>
          <w:sz w:val="32"/>
          <w:szCs w:val="32"/>
          <w:lang w:eastAsia="zh-CN"/>
        </w:rPr>
        <w:t>的</w:t>
      </w:r>
      <w:r>
        <w:rPr>
          <w:rFonts w:hint="eastAsia" w:ascii="仿宋" w:hAnsi="仿宋" w:eastAsia="仿宋" w:cs="仿宋"/>
          <w:sz w:val="32"/>
          <w:szCs w:val="32"/>
        </w:rPr>
        <w:t>空间。</w:t>
      </w:r>
    </w:p>
    <w:p w14:paraId="59AEE8D6">
      <w:pPr>
        <w:keepNext w:val="0"/>
        <w:keepLines w:val="0"/>
        <w:pageBreakBefore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E4D9C32">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ascii="楷体" w:hAnsi="楷体" w:eastAsia="楷体"/>
          <w:bCs/>
          <w:sz w:val="32"/>
          <w:szCs w:val="32"/>
        </w:rPr>
      </w:pPr>
      <w:r>
        <w:rPr>
          <w:rFonts w:hint="eastAsia" w:ascii="仿宋" w:hAnsi="仿宋" w:eastAsia="仿宋" w:cs="仿宋"/>
          <w:sz w:val="32"/>
          <w:szCs w:val="32"/>
        </w:rPr>
        <w:t>针对我单位在建立项目库时存在的不够严谨精细，评价设定环节不够简单易懂、科学性、通俗性的问题，我单位在今后工作中要认真总结经验和根据实际情况设立项目和各项目具体绩效目标，通过召开主任会议专题研究，使得我单位资金使用更加科学合理，项目绩效目标准确清晰，易于评价。</w:t>
      </w:r>
    </w:p>
    <w:p w14:paraId="113CD9E8">
      <w:pPr>
        <w:keepNext w:val="0"/>
        <w:keepLines w:val="0"/>
        <w:pageBreakBefore w:val="0"/>
        <w:numPr>
          <w:ilvl w:val="0"/>
          <w:numId w:val="4"/>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评价工作组人员名单及签字（姓名、工作单位）</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9"/>
        <w:gridCol w:w="3161"/>
        <w:gridCol w:w="2265"/>
        <w:gridCol w:w="2266"/>
      </w:tblGrid>
      <w:tr w14:paraId="23EC3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68F69A5B">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姓名</w:t>
            </w:r>
          </w:p>
        </w:tc>
        <w:tc>
          <w:tcPr>
            <w:tcW w:w="3161" w:type="dxa"/>
          </w:tcPr>
          <w:p w14:paraId="50DBB6B1">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单</w:t>
            </w:r>
            <w:r>
              <w:rPr>
                <w:rFonts w:hint="eastAsia" w:ascii="仿宋" w:hAnsi="仿宋" w:eastAsia="仿宋"/>
                <w:color w:val="auto"/>
                <w:sz w:val="28"/>
                <w:szCs w:val="32"/>
                <w:vertAlign w:val="baseline"/>
                <w:lang w:val="en-US" w:eastAsia="zh-CN"/>
              </w:rPr>
              <w:t xml:space="preserve">   </w:t>
            </w:r>
            <w:r>
              <w:rPr>
                <w:rFonts w:hint="eastAsia" w:ascii="仿宋" w:hAnsi="仿宋" w:eastAsia="仿宋"/>
                <w:color w:val="auto"/>
                <w:sz w:val="28"/>
                <w:szCs w:val="32"/>
                <w:vertAlign w:val="baseline"/>
                <w:lang w:eastAsia="zh-CN"/>
              </w:rPr>
              <w:t>位</w:t>
            </w:r>
          </w:p>
        </w:tc>
        <w:tc>
          <w:tcPr>
            <w:tcW w:w="2265" w:type="dxa"/>
          </w:tcPr>
          <w:p w14:paraId="219A1D42">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职</w:t>
            </w:r>
            <w:r>
              <w:rPr>
                <w:rFonts w:hint="eastAsia" w:ascii="仿宋" w:hAnsi="仿宋" w:eastAsia="仿宋"/>
                <w:color w:val="auto"/>
                <w:sz w:val="28"/>
                <w:szCs w:val="32"/>
                <w:vertAlign w:val="baseline"/>
                <w:lang w:val="en-US" w:eastAsia="zh-CN"/>
              </w:rPr>
              <w:t xml:space="preserve">   </w:t>
            </w:r>
            <w:r>
              <w:rPr>
                <w:rFonts w:hint="eastAsia" w:ascii="仿宋" w:hAnsi="仿宋" w:eastAsia="仿宋"/>
                <w:color w:val="auto"/>
                <w:sz w:val="28"/>
                <w:szCs w:val="32"/>
                <w:vertAlign w:val="baseline"/>
                <w:lang w:eastAsia="zh-CN"/>
              </w:rPr>
              <w:t>务</w:t>
            </w:r>
          </w:p>
        </w:tc>
        <w:tc>
          <w:tcPr>
            <w:tcW w:w="2266" w:type="dxa"/>
          </w:tcPr>
          <w:p w14:paraId="5D7834B0">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签</w:t>
            </w:r>
            <w:r>
              <w:rPr>
                <w:rFonts w:hint="eastAsia" w:ascii="仿宋" w:hAnsi="仿宋" w:eastAsia="仿宋"/>
                <w:color w:val="auto"/>
                <w:sz w:val="28"/>
                <w:szCs w:val="32"/>
                <w:vertAlign w:val="baseline"/>
                <w:lang w:val="en-US" w:eastAsia="zh-CN"/>
              </w:rPr>
              <w:t xml:space="preserve">  </w:t>
            </w:r>
            <w:r>
              <w:rPr>
                <w:rFonts w:hint="eastAsia" w:ascii="仿宋" w:hAnsi="仿宋" w:eastAsia="仿宋"/>
                <w:color w:val="auto"/>
                <w:sz w:val="28"/>
                <w:szCs w:val="32"/>
                <w:vertAlign w:val="baseline"/>
                <w:lang w:eastAsia="zh-CN"/>
              </w:rPr>
              <w:t>字</w:t>
            </w:r>
          </w:p>
        </w:tc>
      </w:tr>
      <w:tr w14:paraId="71C9A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46ECD1DF">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孟</w:t>
            </w:r>
            <w:r>
              <w:rPr>
                <w:rFonts w:ascii="仿宋" w:hAnsi="仿宋" w:eastAsia="仿宋"/>
                <w:color w:val="auto"/>
                <w:sz w:val="28"/>
                <w:szCs w:val="32"/>
                <w:vertAlign w:val="baseline"/>
                <w:lang w:eastAsia="zh-CN"/>
              </w:rPr>
              <w:t xml:space="preserve">  </w:t>
            </w:r>
            <w:r>
              <w:rPr>
                <w:rFonts w:hint="eastAsia" w:ascii="仿宋" w:hAnsi="仿宋" w:eastAsia="仿宋"/>
                <w:color w:val="auto"/>
                <w:sz w:val="28"/>
                <w:szCs w:val="32"/>
                <w:vertAlign w:val="baseline"/>
                <w:lang w:eastAsia="zh-CN"/>
              </w:rPr>
              <w:t>涛</w:t>
            </w:r>
          </w:p>
        </w:tc>
        <w:tc>
          <w:tcPr>
            <w:tcW w:w="3161" w:type="dxa"/>
            <w:tcBorders>
              <w:left w:val="single" w:color="auto" w:sz="4" w:space="0"/>
            </w:tcBorders>
          </w:tcPr>
          <w:p w14:paraId="50C69F66">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赵县自然资源和规划局</w:t>
            </w:r>
          </w:p>
        </w:tc>
        <w:tc>
          <w:tcPr>
            <w:tcW w:w="2265" w:type="dxa"/>
            <w:tcBorders>
              <w:left w:val="single" w:color="auto" w:sz="4" w:space="0"/>
            </w:tcBorders>
          </w:tcPr>
          <w:p w14:paraId="7D246A96">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党组成员</w:t>
            </w:r>
          </w:p>
        </w:tc>
        <w:tc>
          <w:tcPr>
            <w:tcW w:w="2266" w:type="dxa"/>
            <w:tcBorders>
              <w:left w:val="single" w:color="auto" w:sz="4" w:space="0"/>
            </w:tcBorders>
          </w:tcPr>
          <w:p w14:paraId="67DAC0A0">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p>
        </w:tc>
      </w:tr>
      <w:tr w14:paraId="43802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73B39529">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default" w:ascii="仿宋" w:hAnsi="仿宋" w:eastAsia="仿宋"/>
                <w:color w:val="auto"/>
                <w:sz w:val="28"/>
                <w:szCs w:val="32"/>
                <w:vertAlign w:val="baseline"/>
                <w:lang w:val="en-US" w:eastAsia="zh-CN"/>
              </w:rPr>
            </w:pPr>
            <w:r>
              <w:rPr>
                <w:rFonts w:hint="eastAsia" w:ascii="仿宋" w:hAnsi="仿宋" w:eastAsia="仿宋"/>
                <w:color w:val="auto"/>
                <w:sz w:val="28"/>
                <w:szCs w:val="32"/>
                <w:vertAlign w:val="baseline"/>
                <w:lang w:eastAsia="zh-CN"/>
              </w:rPr>
              <w:t>时</w:t>
            </w:r>
            <w:r>
              <w:rPr>
                <w:rFonts w:hint="eastAsia" w:ascii="仿宋" w:hAnsi="仿宋" w:eastAsia="仿宋"/>
                <w:color w:val="auto"/>
                <w:sz w:val="28"/>
                <w:szCs w:val="32"/>
                <w:vertAlign w:val="baseline"/>
                <w:lang w:val="en-US" w:eastAsia="zh-CN"/>
              </w:rPr>
              <w:t xml:space="preserve">  凯</w:t>
            </w:r>
          </w:p>
        </w:tc>
        <w:tc>
          <w:tcPr>
            <w:tcW w:w="3161" w:type="dxa"/>
            <w:tcBorders>
              <w:left w:val="single" w:color="auto" w:sz="4" w:space="0"/>
            </w:tcBorders>
          </w:tcPr>
          <w:p w14:paraId="70257D99">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r>
              <w:rPr>
                <w:rFonts w:hint="eastAsia" w:ascii="仿宋" w:hAnsi="仿宋" w:eastAsia="仿宋"/>
                <w:color w:val="auto"/>
                <w:sz w:val="28"/>
                <w:szCs w:val="32"/>
                <w:vertAlign w:val="baseline"/>
                <w:lang w:eastAsia="zh-CN"/>
              </w:rPr>
              <w:t>赵县自然资源和规划局</w:t>
            </w:r>
          </w:p>
        </w:tc>
        <w:tc>
          <w:tcPr>
            <w:tcW w:w="2265" w:type="dxa"/>
            <w:tcBorders>
              <w:left w:val="single" w:color="auto" w:sz="4" w:space="0"/>
            </w:tcBorders>
          </w:tcPr>
          <w:p w14:paraId="38C33BCF">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办公室主任</w:t>
            </w:r>
          </w:p>
        </w:tc>
        <w:tc>
          <w:tcPr>
            <w:tcW w:w="2266" w:type="dxa"/>
            <w:tcBorders>
              <w:left w:val="single" w:color="auto" w:sz="4" w:space="0"/>
            </w:tcBorders>
          </w:tcPr>
          <w:p w14:paraId="16686881">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p>
        </w:tc>
      </w:tr>
      <w:tr w14:paraId="233CC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095F795F">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马</w:t>
            </w:r>
            <w:r>
              <w:rPr>
                <w:rFonts w:ascii="仿宋" w:hAnsi="仿宋" w:eastAsia="仿宋"/>
                <w:color w:val="auto"/>
                <w:sz w:val="28"/>
                <w:szCs w:val="32"/>
                <w:vertAlign w:val="baseline"/>
                <w:lang w:eastAsia="zh-CN"/>
              </w:rPr>
              <w:t xml:space="preserve">  </w:t>
            </w:r>
            <w:r>
              <w:rPr>
                <w:rFonts w:hint="eastAsia" w:ascii="仿宋" w:hAnsi="仿宋" w:eastAsia="仿宋"/>
                <w:color w:val="auto"/>
                <w:sz w:val="28"/>
                <w:szCs w:val="32"/>
                <w:vertAlign w:val="baseline"/>
                <w:lang w:eastAsia="zh-CN"/>
              </w:rPr>
              <w:t>炜</w:t>
            </w:r>
          </w:p>
        </w:tc>
        <w:tc>
          <w:tcPr>
            <w:tcW w:w="3161" w:type="dxa"/>
            <w:tcBorders>
              <w:left w:val="single" w:color="auto" w:sz="4" w:space="0"/>
            </w:tcBorders>
          </w:tcPr>
          <w:p w14:paraId="5EC86185">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r>
              <w:rPr>
                <w:rFonts w:hint="eastAsia" w:ascii="仿宋" w:hAnsi="仿宋" w:eastAsia="仿宋"/>
                <w:color w:val="auto"/>
                <w:sz w:val="28"/>
                <w:szCs w:val="32"/>
                <w:vertAlign w:val="baseline"/>
                <w:lang w:eastAsia="zh-CN"/>
              </w:rPr>
              <w:t>赵县自然资源和规划局</w:t>
            </w:r>
          </w:p>
        </w:tc>
        <w:tc>
          <w:tcPr>
            <w:tcW w:w="2265" w:type="dxa"/>
            <w:tcBorders>
              <w:left w:val="single" w:color="auto" w:sz="4" w:space="0"/>
            </w:tcBorders>
          </w:tcPr>
          <w:p w14:paraId="0AC2F76A">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财务科长</w:t>
            </w:r>
          </w:p>
        </w:tc>
        <w:tc>
          <w:tcPr>
            <w:tcW w:w="2266" w:type="dxa"/>
            <w:tcBorders>
              <w:left w:val="single" w:color="auto" w:sz="4" w:space="0"/>
            </w:tcBorders>
          </w:tcPr>
          <w:p w14:paraId="459F5445">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p>
        </w:tc>
      </w:tr>
    </w:tbl>
    <w:p w14:paraId="354C5A2C">
      <w:pPr>
        <w:keepNext w:val="0"/>
        <w:keepLines w:val="0"/>
        <w:pageBreakBefore w:val="0"/>
        <w:kinsoku/>
        <w:wordWrap/>
        <w:overflowPunct/>
        <w:topLinePunct w:val="0"/>
        <w:autoSpaceDE/>
        <w:autoSpaceDN/>
        <w:bidi w:val="0"/>
        <w:spacing w:line="560" w:lineRule="exact"/>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9CAFD">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39F8B6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59E4B82"/>
    <w:multiLevelType w:val="singleLevel"/>
    <w:tmpl w:val="459E4B82"/>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E2DA4AD"/>
    <w:multiLevelType w:val="singleLevel"/>
    <w:tmpl w:val="6E2DA4AD"/>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0FB3C96"/>
    <w:rsid w:val="01B104CA"/>
    <w:rsid w:val="02106AB0"/>
    <w:rsid w:val="02B43A28"/>
    <w:rsid w:val="046F331E"/>
    <w:rsid w:val="07956271"/>
    <w:rsid w:val="09721397"/>
    <w:rsid w:val="09E63134"/>
    <w:rsid w:val="0BB63BED"/>
    <w:rsid w:val="0EB97A43"/>
    <w:rsid w:val="0EBD2122"/>
    <w:rsid w:val="0F214EAE"/>
    <w:rsid w:val="11B71E6A"/>
    <w:rsid w:val="1AAF0063"/>
    <w:rsid w:val="1BE140DE"/>
    <w:rsid w:val="1D491BD5"/>
    <w:rsid w:val="248C197D"/>
    <w:rsid w:val="252959AF"/>
    <w:rsid w:val="277A6671"/>
    <w:rsid w:val="281A529E"/>
    <w:rsid w:val="292D35B7"/>
    <w:rsid w:val="33EB6CFF"/>
    <w:rsid w:val="35A12947"/>
    <w:rsid w:val="37387040"/>
    <w:rsid w:val="3A7C2BAF"/>
    <w:rsid w:val="3B625C0A"/>
    <w:rsid w:val="3CEE1963"/>
    <w:rsid w:val="3F204076"/>
    <w:rsid w:val="436B78D3"/>
    <w:rsid w:val="438E12F2"/>
    <w:rsid w:val="4C9C27FE"/>
    <w:rsid w:val="512260B4"/>
    <w:rsid w:val="52BD6ACB"/>
    <w:rsid w:val="55537534"/>
    <w:rsid w:val="561A74F1"/>
    <w:rsid w:val="597244E8"/>
    <w:rsid w:val="5B64314F"/>
    <w:rsid w:val="5C7D5081"/>
    <w:rsid w:val="5EB71C30"/>
    <w:rsid w:val="66AF0CE5"/>
    <w:rsid w:val="6AC537CF"/>
    <w:rsid w:val="6E5B14A6"/>
    <w:rsid w:val="707356B6"/>
    <w:rsid w:val="711B255E"/>
    <w:rsid w:val="7BB51E06"/>
    <w:rsid w:val="7C387F7C"/>
    <w:rsid w:val="7D09352F"/>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3062</Words>
  <Characters>3129</Characters>
  <Lines>4</Lines>
  <Paragraphs>1</Paragraphs>
  <TotalTime>0</TotalTime>
  <ScaleCrop>false</ScaleCrop>
  <LinksUpToDate>false</LinksUpToDate>
  <CharactersWithSpaces>3165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2026-06-18T02:04:01Z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