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B7CC7F0">
      <w:pPr>
        <w:pStyle w:val="2"/>
        <w:keepNext w:val="0"/>
        <w:keepLines w:val="0"/>
        <w:widowControl/>
        <w:suppressLineNumbers w:val="0"/>
        <w:shd w:val="clear" w:fill="FCFCFC"/>
        <w:spacing w:line="480" w:lineRule="atLeast"/>
        <w:ind w:left="0" w:firstLine="0"/>
        <w:jc w:val="center"/>
        <w:rPr>
          <w:rFonts w:hint="default" w:ascii="Times New Roman" w:hAnsi="Times New Roman" w:cs="Times New Roman"/>
          <w:i w:val="0"/>
          <w:iCs w:val="0"/>
          <w:caps w:val="0"/>
          <w:color w:val="404040"/>
          <w:spacing w:val="0"/>
          <w:sz w:val="44"/>
          <w:szCs w:val="44"/>
        </w:rPr>
      </w:pPr>
      <w:bookmarkStart w:id="0" w:name="_GoBack"/>
      <w:r>
        <w:rPr>
          <w:rFonts w:hint="default" w:ascii="Times New Roman" w:hAnsi="Times New Roman" w:cs="Times New Roman"/>
          <w:i w:val="0"/>
          <w:iCs w:val="0"/>
          <w:caps w:val="0"/>
          <w:color w:val="404040"/>
          <w:spacing w:val="0"/>
          <w:sz w:val="44"/>
          <w:szCs w:val="44"/>
          <w:shd w:val="clear" w:fill="FCFCFC"/>
        </w:rPr>
        <w:t>关于第十一批国家组织药品集中带量采购结果执行的提示公告</w:t>
      </w:r>
    </w:p>
    <w:bookmarkEnd w:id="0"/>
    <w:p w14:paraId="5A891BDA">
      <w:pPr>
        <w:keepNext w:val="0"/>
        <w:keepLines w:val="0"/>
        <w:widowControl/>
        <w:suppressLineNumbers w:val="0"/>
        <w:pBdr>
          <w:top w:val="single" w:color="ECECEC" w:sz="4" w:space="0"/>
          <w:left w:val="single" w:color="ECECEC" w:sz="4" w:space="0"/>
          <w:bottom w:val="single" w:color="ECECEC" w:sz="4" w:space="0"/>
          <w:right w:val="single" w:color="ECECEC" w:sz="4" w:space="0"/>
        </w:pBdr>
        <w:shd w:val="clear" w:fill="FCFCFC"/>
        <w:spacing w:line="384" w:lineRule="atLeast"/>
        <w:ind w:left="0" w:firstLine="0"/>
        <w:jc w:val="center"/>
        <w:rPr>
          <w:rFonts w:hint="default" w:ascii="Times New Roman" w:hAnsi="Times New Roman" w:cs="Times New Roman"/>
          <w:i w:val="0"/>
          <w:iCs w:val="0"/>
          <w:caps w:val="0"/>
          <w:color w:val="404040"/>
          <w:spacing w:val="0"/>
          <w:sz w:val="14"/>
          <w:szCs w:val="14"/>
        </w:rPr>
      </w:pPr>
      <w:r>
        <w:rPr>
          <w:rFonts w:hint="default" w:ascii="Times New Roman" w:hAnsi="Times New Roman" w:eastAsia="宋体" w:cs="Times New Roman"/>
          <w:i w:val="0"/>
          <w:iCs w:val="0"/>
          <w:caps w:val="0"/>
          <w:color w:val="404040"/>
          <w:spacing w:val="0"/>
          <w:kern w:val="0"/>
          <w:sz w:val="14"/>
          <w:szCs w:val="14"/>
          <w:shd w:val="clear" w:fill="FCFCFC"/>
          <w:lang w:val="en-US" w:eastAsia="zh-CN" w:bidi="ar"/>
        </w:rPr>
        <w:t>  发布日期：2026-05-22  </w:t>
      </w:r>
      <w:r>
        <w:rPr>
          <w:rFonts w:hint="default" w:ascii="Times New Roman" w:hAnsi="Times New Roman" w:eastAsia="宋体" w:cs="Times New Roman"/>
          <w:i w:val="0"/>
          <w:iCs w:val="0"/>
          <w:caps w:val="0"/>
          <w:color w:val="666666"/>
          <w:spacing w:val="0"/>
          <w:kern w:val="0"/>
          <w:sz w:val="14"/>
          <w:szCs w:val="14"/>
          <w:shd w:val="clear" w:fill="FCFCFC"/>
          <w:lang w:val="en-US" w:eastAsia="zh-CN" w:bidi="ar"/>
        </w:rPr>
        <w:t>【字体:</w:t>
      </w:r>
      <w:r>
        <w:rPr>
          <w:rFonts w:hint="default" w:ascii="Times New Roman" w:hAnsi="Times New Roman" w:eastAsia="宋体" w:cs="Times New Roman"/>
          <w:i w:val="0"/>
          <w:iCs w:val="0"/>
          <w:caps w:val="0"/>
          <w:color w:val="404040"/>
          <w:spacing w:val="0"/>
          <w:kern w:val="0"/>
          <w:sz w:val="14"/>
          <w:szCs w:val="14"/>
          <w:shd w:val="clear" w:fill="FCFCFC"/>
          <w:lang w:val="en-US" w:eastAsia="zh-CN" w:bidi="ar"/>
        </w:rPr>
        <w:fldChar w:fldCharType="begin"/>
      </w:r>
      <w:r>
        <w:rPr>
          <w:rFonts w:hint="default" w:ascii="Times New Roman" w:hAnsi="Times New Roman" w:eastAsia="宋体" w:cs="Times New Roman"/>
          <w:i w:val="0"/>
          <w:iCs w:val="0"/>
          <w:caps w:val="0"/>
          <w:color w:val="404040"/>
          <w:spacing w:val="0"/>
          <w:kern w:val="0"/>
          <w:sz w:val="14"/>
          <w:szCs w:val="14"/>
          <w:shd w:val="clear" w:fill="FCFCFC"/>
          <w:lang w:val="en-US" w:eastAsia="zh-CN" w:bidi="ar"/>
        </w:rPr>
        <w:instrText xml:space="preserve"> HYPERLINK "javascript:JSSetFont('24px')" </w:instrText>
      </w:r>
      <w:r>
        <w:rPr>
          <w:rFonts w:hint="default" w:ascii="Times New Roman" w:hAnsi="Times New Roman" w:eastAsia="宋体" w:cs="Times New Roman"/>
          <w:i w:val="0"/>
          <w:iCs w:val="0"/>
          <w:caps w:val="0"/>
          <w:color w:val="404040"/>
          <w:spacing w:val="0"/>
          <w:kern w:val="0"/>
          <w:sz w:val="14"/>
          <w:szCs w:val="14"/>
          <w:shd w:val="clear" w:fill="FCFCFC"/>
          <w:lang w:val="en-US" w:eastAsia="zh-CN" w:bidi="ar"/>
        </w:rPr>
        <w:fldChar w:fldCharType="separate"/>
      </w:r>
      <w:r>
        <w:rPr>
          <w:rStyle w:val="6"/>
          <w:rFonts w:hint="default" w:ascii="Times New Roman" w:hAnsi="Times New Roman" w:eastAsia="宋体" w:cs="Times New Roman"/>
          <w:i w:val="0"/>
          <w:iCs w:val="0"/>
          <w:caps w:val="0"/>
          <w:color w:val="404040"/>
          <w:spacing w:val="0"/>
          <w:sz w:val="14"/>
          <w:szCs w:val="14"/>
          <w:shd w:val="clear" w:fill="FCFCFC"/>
        </w:rPr>
        <w:t>大</w:t>
      </w:r>
      <w:r>
        <w:rPr>
          <w:rFonts w:hint="default" w:ascii="Times New Roman" w:hAnsi="Times New Roman" w:eastAsia="宋体" w:cs="Times New Roman"/>
          <w:i w:val="0"/>
          <w:iCs w:val="0"/>
          <w:caps w:val="0"/>
          <w:color w:val="404040"/>
          <w:spacing w:val="0"/>
          <w:kern w:val="0"/>
          <w:sz w:val="14"/>
          <w:szCs w:val="14"/>
          <w:shd w:val="clear" w:fill="FCFCFC"/>
          <w:lang w:val="en-US" w:eastAsia="zh-CN" w:bidi="ar"/>
        </w:rPr>
        <w:fldChar w:fldCharType="end"/>
      </w:r>
      <w:r>
        <w:rPr>
          <w:rFonts w:hint="default" w:ascii="Times New Roman" w:hAnsi="Times New Roman" w:eastAsia="宋体" w:cs="Times New Roman"/>
          <w:i w:val="0"/>
          <w:iCs w:val="0"/>
          <w:caps w:val="0"/>
          <w:color w:val="666666"/>
          <w:spacing w:val="0"/>
          <w:kern w:val="0"/>
          <w:sz w:val="14"/>
          <w:szCs w:val="14"/>
          <w:shd w:val="clear" w:fill="FCFCFC"/>
          <w:lang w:val="en-US" w:eastAsia="zh-CN" w:bidi="ar"/>
        </w:rPr>
        <w:t> </w:t>
      </w:r>
      <w:r>
        <w:rPr>
          <w:rFonts w:hint="default" w:ascii="Times New Roman" w:hAnsi="Times New Roman" w:eastAsia="宋体" w:cs="Times New Roman"/>
          <w:i w:val="0"/>
          <w:iCs w:val="0"/>
          <w:caps w:val="0"/>
          <w:color w:val="404040"/>
          <w:spacing w:val="0"/>
          <w:kern w:val="0"/>
          <w:sz w:val="14"/>
          <w:szCs w:val="14"/>
          <w:shd w:val="clear" w:fill="FCFCFC"/>
          <w:lang w:val="en-US" w:eastAsia="zh-CN" w:bidi="ar"/>
        </w:rPr>
        <w:fldChar w:fldCharType="begin"/>
      </w:r>
      <w:r>
        <w:rPr>
          <w:rFonts w:hint="default" w:ascii="Times New Roman" w:hAnsi="Times New Roman" w:eastAsia="宋体" w:cs="Times New Roman"/>
          <w:i w:val="0"/>
          <w:iCs w:val="0"/>
          <w:caps w:val="0"/>
          <w:color w:val="404040"/>
          <w:spacing w:val="0"/>
          <w:kern w:val="0"/>
          <w:sz w:val="14"/>
          <w:szCs w:val="14"/>
          <w:shd w:val="clear" w:fill="FCFCFC"/>
          <w:lang w:val="en-US" w:eastAsia="zh-CN" w:bidi="ar"/>
        </w:rPr>
        <w:instrText xml:space="preserve"> HYPERLINK "javascript:JSSetFont('18px')" </w:instrText>
      </w:r>
      <w:r>
        <w:rPr>
          <w:rFonts w:hint="default" w:ascii="Times New Roman" w:hAnsi="Times New Roman" w:eastAsia="宋体" w:cs="Times New Roman"/>
          <w:i w:val="0"/>
          <w:iCs w:val="0"/>
          <w:caps w:val="0"/>
          <w:color w:val="404040"/>
          <w:spacing w:val="0"/>
          <w:kern w:val="0"/>
          <w:sz w:val="14"/>
          <w:szCs w:val="14"/>
          <w:shd w:val="clear" w:fill="FCFCFC"/>
          <w:lang w:val="en-US" w:eastAsia="zh-CN" w:bidi="ar"/>
        </w:rPr>
        <w:fldChar w:fldCharType="separate"/>
      </w:r>
      <w:r>
        <w:rPr>
          <w:rStyle w:val="6"/>
          <w:rFonts w:hint="default" w:ascii="Times New Roman" w:hAnsi="Times New Roman" w:eastAsia="宋体" w:cs="Times New Roman"/>
          <w:i w:val="0"/>
          <w:iCs w:val="0"/>
          <w:caps w:val="0"/>
          <w:color w:val="404040"/>
          <w:spacing w:val="0"/>
          <w:sz w:val="14"/>
          <w:szCs w:val="14"/>
          <w:shd w:val="clear" w:fill="FCFCFC"/>
        </w:rPr>
        <w:t>中</w:t>
      </w:r>
      <w:r>
        <w:rPr>
          <w:rFonts w:hint="default" w:ascii="Times New Roman" w:hAnsi="Times New Roman" w:eastAsia="宋体" w:cs="Times New Roman"/>
          <w:i w:val="0"/>
          <w:iCs w:val="0"/>
          <w:caps w:val="0"/>
          <w:color w:val="404040"/>
          <w:spacing w:val="0"/>
          <w:kern w:val="0"/>
          <w:sz w:val="14"/>
          <w:szCs w:val="14"/>
          <w:shd w:val="clear" w:fill="FCFCFC"/>
          <w:lang w:val="en-US" w:eastAsia="zh-CN" w:bidi="ar"/>
        </w:rPr>
        <w:fldChar w:fldCharType="end"/>
      </w:r>
      <w:r>
        <w:rPr>
          <w:rFonts w:hint="default" w:ascii="Times New Roman" w:hAnsi="Times New Roman" w:eastAsia="宋体" w:cs="Times New Roman"/>
          <w:i w:val="0"/>
          <w:iCs w:val="0"/>
          <w:caps w:val="0"/>
          <w:color w:val="666666"/>
          <w:spacing w:val="0"/>
          <w:kern w:val="0"/>
          <w:sz w:val="14"/>
          <w:szCs w:val="14"/>
          <w:shd w:val="clear" w:fill="FCFCFC"/>
          <w:lang w:val="en-US" w:eastAsia="zh-CN" w:bidi="ar"/>
        </w:rPr>
        <w:t> </w:t>
      </w:r>
      <w:r>
        <w:rPr>
          <w:rFonts w:hint="default" w:ascii="Times New Roman" w:hAnsi="Times New Roman" w:eastAsia="宋体" w:cs="Times New Roman"/>
          <w:i w:val="0"/>
          <w:iCs w:val="0"/>
          <w:caps w:val="0"/>
          <w:color w:val="404040"/>
          <w:spacing w:val="0"/>
          <w:kern w:val="0"/>
          <w:sz w:val="14"/>
          <w:szCs w:val="14"/>
          <w:shd w:val="clear" w:fill="FCFCFC"/>
          <w:lang w:val="en-US" w:eastAsia="zh-CN" w:bidi="ar"/>
        </w:rPr>
        <w:fldChar w:fldCharType="begin"/>
      </w:r>
      <w:r>
        <w:rPr>
          <w:rFonts w:hint="default" w:ascii="Times New Roman" w:hAnsi="Times New Roman" w:eastAsia="宋体" w:cs="Times New Roman"/>
          <w:i w:val="0"/>
          <w:iCs w:val="0"/>
          <w:caps w:val="0"/>
          <w:color w:val="404040"/>
          <w:spacing w:val="0"/>
          <w:kern w:val="0"/>
          <w:sz w:val="14"/>
          <w:szCs w:val="14"/>
          <w:shd w:val="clear" w:fill="FCFCFC"/>
          <w:lang w:val="en-US" w:eastAsia="zh-CN" w:bidi="ar"/>
        </w:rPr>
        <w:instrText xml:space="preserve"> HYPERLINK "javascript:JSSetFont('12px')" </w:instrText>
      </w:r>
      <w:r>
        <w:rPr>
          <w:rFonts w:hint="default" w:ascii="Times New Roman" w:hAnsi="Times New Roman" w:eastAsia="宋体" w:cs="Times New Roman"/>
          <w:i w:val="0"/>
          <w:iCs w:val="0"/>
          <w:caps w:val="0"/>
          <w:color w:val="404040"/>
          <w:spacing w:val="0"/>
          <w:kern w:val="0"/>
          <w:sz w:val="14"/>
          <w:szCs w:val="14"/>
          <w:shd w:val="clear" w:fill="FCFCFC"/>
          <w:lang w:val="en-US" w:eastAsia="zh-CN" w:bidi="ar"/>
        </w:rPr>
        <w:fldChar w:fldCharType="separate"/>
      </w:r>
      <w:r>
        <w:rPr>
          <w:rStyle w:val="6"/>
          <w:rFonts w:hint="default" w:ascii="Times New Roman" w:hAnsi="Times New Roman" w:eastAsia="宋体" w:cs="Times New Roman"/>
          <w:i w:val="0"/>
          <w:iCs w:val="0"/>
          <w:caps w:val="0"/>
          <w:color w:val="404040"/>
          <w:spacing w:val="0"/>
          <w:sz w:val="14"/>
          <w:szCs w:val="14"/>
          <w:shd w:val="clear" w:fill="FCFCFC"/>
        </w:rPr>
        <w:t>小</w:t>
      </w:r>
      <w:r>
        <w:rPr>
          <w:rFonts w:hint="default" w:ascii="Times New Roman" w:hAnsi="Times New Roman" w:eastAsia="宋体" w:cs="Times New Roman"/>
          <w:i w:val="0"/>
          <w:iCs w:val="0"/>
          <w:caps w:val="0"/>
          <w:color w:val="404040"/>
          <w:spacing w:val="0"/>
          <w:kern w:val="0"/>
          <w:sz w:val="14"/>
          <w:szCs w:val="14"/>
          <w:shd w:val="clear" w:fill="FCFCFC"/>
          <w:lang w:val="en-US" w:eastAsia="zh-CN" w:bidi="ar"/>
        </w:rPr>
        <w:fldChar w:fldCharType="end"/>
      </w:r>
      <w:r>
        <w:rPr>
          <w:rFonts w:hint="default" w:ascii="Times New Roman" w:hAnsi="Times New Roman" w:eastAsia="宋体" w:cs="Times New Roman"/>
          <w:i w:val="0"/>
          <w:iCs w:val="0"/>
          <w:caps w:val="0"/>
          <w:color w:val="666666"/>
          <w:spacing w:val="0"/>
          <w:kern w:val="0"/>
          <w:sz w:val="14"/>
          <w:szCs w:val="14"/>
          <w:shd w:val="clear" w:fill="FCFCFC"/>
          <w:lang w:val="en-US" w:eastAsia="zh-CN" w:bidi="ar"/>
        </w:rPr>
        <w:t>】</w:t>
      </w:r>
    </w:p>
    <w:p w14:paraId="5754F70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0" w:afterAutospacing="0" w:line="480" w:lineRule="atLeast"/>
        <w:ind w:left="0" w:right="0" w:firstLine="640"/>
      </w:pPr>
      <w:r>
        <w:rPr>
          <w:rFonts w:hint="eastAsia" w:ascii="宋体" w:hAnsi="宋体" w:eastAsia="宋体" w:cs="宋体"/>
          <w:i w:val="0"/>
          <w:iCs w:val="0"/>
          <w:caps w:val="0"/>
          <w:color w:val="666666"/>
          <w:spacing w:val="0"/>
          <w:sz w:val="32"/>
          <w:szCs w:val="32"/>
          <w:bdr w:val="none" w:color="auto" w:sz="0" w:space="0"/>
          <w:shd w:val="clear" w:fill="FCFCFC"/>
        </w:rPr>
        <w:t>在各地医疗保障部门、医药集中采购机构努力下，在广大中选企业、配送企业、公立医疗机构的支持配合下，第十一批国家组织药品集中带量采购中选结果已在各省陆续落地实施。为进一步保障广大患者充分、及时享受集采成果，现就有关事项提示如下：</w:t>
      </w:r>
    </w:p>
    <w:p w14:paraId="53D9DCF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0" w:afterAutospacing="0" w:line="480" w:lineRule="atLeast"/>
        <w:ind w:left="0" w:right="0" w:firstLine="640"/>
      </w:pPr>
      <w:r>
        <w:rPr>
          <w:rFonts w:hint="eastAsia" w:ascii="宋体" w:hAnsi="宋体" w:eastAsia="宋体" w:cs="宋体"/>
          <w:i w:val="0"/>
          <w:iCs w:val="0"/>
          <w:caps w:val="0"/>
          <w:color w:val="666666"/>
          <w:spacing w:val="0"/>
          <w:sz w:val="32"/>
          <w:szCs w:val="32"/>
          <w:bdr w:val="none" w:color="auto" w:sz="0" w:space="0"/>
          <w:shd w:val="clear" w:fill="FCFCFC"/>
        </w:rPr>
        <w:t>一、请各联采办成员单位做好中选产品挂网价格信息的复核工作，杜绝集采前的历史高价信息“应调未调”“应撤未撤”，避免产生误导。特别关注中选企业在第十一批全国药品集中带量采购“中选品种供应清单（</w:t>
      </w:r>
      <w:r>
        <w:rPr>
          <w:rFonts w:hint="default" w:ascii="Times New Roman" w:hAnsi="Times New Roman" w:cs="Times New Roman"/>
          <w:i w:val="0"/>
          <w:iCs w:val="0"/>
          <w:caps w:val="0"/>
          <w:color w:val="666666"/>
          <w:spacing w:val="0"/>
          <w:sz w:val="32"/>
          <w:szCs w:val="32"/>
          <w:bdr w:val="none" w:color="auto" w:sz="0" w:space="0"/>
          <w:shd w:val="clear" w:fill="FCFCFC"/>
        </w:rPr>
        <w:t>GY-YD2025-1</w:t>
      </w:r>
      <w:r>
        <w:rPr>
          <w:rFonts w:hint="eastAsia" w:ascii="宋体" w:hAnsi="宋体" w:eastAsia="宋体" w:cs="宋体"/>
          <w:i w:val="0"/>
          <w:iCs w:val="0"/>
          <w:caps w:val="0"/>
          <w:color w:val="666666"/>
          <w:spacing w:val="0"/>
          <w:sz w:val="32"/>
          <w:szCs w:val="32"/>
          <w:bdr w:val="none" w:color="auto" w:sz="0" w:space="0"/>
          <w:shd w:val="clear" w:fill="FCFCFC"/>
        </w:rPr>
        <w:t>）”所列规格之外新增包装的情况。要加强采购和结算的中选信息互通、价格风险提示等工作。特别关注未参加集采的定点民营医疗机构和定点零售药店，应以适当方式及时告知中选药品的最新价格变化。</w:t>
      </w:r>
    </w:p>
    <w:p w14:paraId="1EA1C315">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0" w:afterAutospacing="0" w:line="336" w:lineRule="atLeast"/>
        <w:ind w:left="0" w:right="0" w:firstLine="640"/>
      </w:pPr>
      <w:r>
        <w:rPr>
          <w:rFonts w:hint="eastAsia" w:ascii="宋体" w:hAnsi="宋体" w:eastAsia="宋体" w:cs="宋体"/>
          <w:i w:val="0"/>
          <w:iCs w:val="0"/>
          <w:caps w:val="0"/>
          <w:color w:val="666666"/>
          <w:spacing w:val="0"/>
          <w:sz w:val="32"/>
          <w:szCs w:val="32"/>
          <w:bdr w:val="none" w:color="auto" w:sz="0" w:space="0"/>
          <w:shd w:val="clear" w:fill="FCFCFC"/>
        </w:rPr>
        <w:t>二、请各医保定点医药机构，特别是未参加集采的定点民营医疗机构和定点零售药店，自觉履行公平合理、诚信定价的责任，自觉遵守医保定点协议的相关条款，主动避免同药不同价、价差相差悬殊导致的患者和医保基金损失。</w:t>
      </w:r>
    </w:p>
    <w:p w14:paraId="77BA6D75">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0" w:afterAutospacing="0" w:line="480" w:lineRule="atLeast"/>
        <w:ind w:left="0" w:right="0" w:firstLine="640"/>
      </w:pPr>
      <w:r>
        <w:rPr>
          <w:rFonts w:hint="eastAsia" w:ascii="宋体" w:hAnsi="宋体" w:eastAsia="宋体" w:cs="宋体"/>
          <w:i w:val="0"/>
          <w:iCs w:val="0"/>
          <w:caps w:val="0"/>
          <w:color w:val="666666"/>
          <w:spacing w:val="0"/>
          <w:sz w:val="32"/>
          <w:szCs w:val="32"/>
          <w:bdr w:val="none" w:color="auto" w:sz="0" w:space="0"/>
          <w:shd w:val="clear" w:fill="FCFCFC"/>
        </w:rPr>
        <w:t>三、请各中选企业响应定点医药机构合理的退换货要求，对于中选企业针对不同销售渠道、购买群体实行差异化定价，且价差明显不合理的，将按照医药价格和招采信用评价制度的有关规定处置（详见《医药价格和招采信用评价的裁量基准（</w:t>
      </w:r>
      <w:r>
        <w:rPr>
          <w:rFonts w:hint="default" w:ascii="Times New Roman" w:hAnsi="Times New Roman" w:cs="Times New Roman"/>
          <w:i w:val="0"/>
          <w:iCs w:val="0"/>
          <w:caps w:val="0"/>
          <w:color w:val="666666"/>
          <w:spacing w:val="0"/>
          <w:sz w:val="32"/>
          <w:szCs w:val="32"/>
          <w:bdr w:val="none" w:color="auto" w:sz="0" w:space="0"/>
          <w:shd w:val="clear" w:fill="FCFCFC"/>
        </w:rPr>
        <w:t>2025</w:t>
      </w:r>
      <w:r>
        <w:rPr>
          <w:rFonts w:hint="eastAsia" w:ascii="宋体" w:hAnsi="宋体" w:eastAsia="宋体" w:cs="宋体"/>
          <w:i w:val="0"/>
          <w:iCs w:val="0"/>
          <w:caps w:val="0"/>
          <w:color w:val="666666"/>
          <w:spacing w:val="0"/>
          <w:sz w:val="32"/>
          <w:szCs w:val="32"/>
          <w:bdr w:val="none" w:color="auto" w:sz="0" w:space="0"/>
          <w:shd w:val="clear" w:fill="FCFCFC"/>
        </w:rPr>
        <w:t>版）》“</w:t>
      </w:r>
      <w:r>
        <w:rPr>
          <w:rFonts w:hint="default" w:ascii="Times New Roman" w:hAnsi="Times New Roman" w:cs="Times New Roman"/>
          <w:i w:val="0"/>
          <w:iCs w:val="0"/>
          <w:caps w:val="0"/>
          <w:color w:val="666666"/>
          <w:spacing w:val="0"/>
          <w:sz w:val="32"/>
          <w:szCs w:val="32"/>
          <w:bdr w:val="none" w:color="auto" w:sz="0" w:space="0"/>
          <w:shd w:val="clear" w:fill="FCFCFC"/>
        </w:rPr>
        <w:t>1.5.1.6</w:t>
      </w:r>
      <w:r>
        <w:rPr>
          <w:rFonts w:hint="eastAsia" w:ascii="宋体" w:hAnsi="宋体" w:eastAsia="宋体" w:cs="宋体"/>
          <w:i w:val="0"/>
          <w:iCs w:val="0"/>
          <w:caps w:val="0"/>
          <w:color w:val="666666"/>
          <w:spacing w:val="0"/>
          <w:sz w:val="32"/>
          <w:szCs w:val="32"/>
          <w:bdr w:val="none" w:color="auto" w:sz="0" w:space="0"/>
          <w:shd w:val="clear" w:fill="FCFCFC"/>
        </w:rPr>
        <w:t>”等有关条款）。</w:t>
      </w:r>
    </w:p>
    <w:p w14:paraId="248B404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0" w:afterAutospacing="0" w:line="480" w:lineRule="atLeast"/>
        <w:ind w:left="0" w:right="0" w:firstLine="640"/>
      </w:pPr>
      <w:r>
        <w:rPr>
          <w:rFonts w:hint="eastAsia" w:ascii="宋体" w:hAnsi="宋体" w:eastAsia="宋体" w:cs="宋体"/>
          <w:i w:val="0"/>
          <w:iCs w:val="0"/>
          <w:caps w:val="0"/>
          <w:color w:val="666666"/>
          <w:spacing w:val="0"/>
          <w:sz w:val="32"/>
          <w:szCs w:val="32"/>
          <w:bdr w:val="none" w:color="auto" w:sz="0" w:space="0"/>
          <w:shd w:val="clear" w:fill="FCFCFC"/>
        </w:rPr>
        <w:t>四、第十一批全国药品集中带量采购中选结果落地以后，一些原价高昂的药品降价明显，建议广大群众购买集采中选药品，特别是在零售药店等单位购买时，用好医保</w:t>
      </w:r>
      <w:r>
        <w:rPr>
          <w:rFonts w:hint="default" w:ascii="Times New Roman" w:hAnsi="Times New Roman" w:cs="Times New Roman"/>
          <w:i w:val="0"/>
          <w:iCs w:val="0"/>
          <w:caps w:val="0"/>
          <w:color w:val="666666"/>
          <w:spacing w:val="0"/>
          <w:sz w:val="32"/>
          <w:szCs w:val="32"/>
          <w:bdr w:val="none" w:color="auto" w:sz="0" w:space="0"/>
          <w:shd w:val="clear" w:fill="FCFCFC"/>
        </w:rPr>
        <w:t>APP</w:t>
      </w:r>
      <w:r>
        <w:rPr>
          <w:rFonts w:hint="eastAsia" w:ascii="宋体" w:hAnsi="宋体" w:eastAsia="宋体" w:cs="宋体"/>
          <w:i w:val="0"/>
          <w:iCs w:val="0"/>
          <w:caps w:val="0"/>
          <w:color w:val="666666"/>
          <w:spacing w:val="0"/>
          <w:sz w:val="32"/>
          <w:szCs w:val="32"/>
          <w:bdr w:val="none" w:color="auto" w:sz="0" w:space="0"/>
          <w:shd w:val="clear" w:fill="FCFCFC"/>
        </w:rPr>
        <w:t>和“比价小程序”，避免花冤枉钱。例如，尼达尼布软胶囊小包装每盒价格最低已降至</w:t>
      </w:r>
      <w:r>
        <w:rPr>
          <w:rFonts w:hint="default" w:ascii="Times New Roman" w:hAnsi="Times New Roman" w:cs="Times New Roman"/>
          <w:i w:val="0"/>
          <w:iCs w:val="0"/>
          <w:caps w:val="0"/>
          <w:color w:val="666666"/>
          <w:spacing w:val="0"/>
          <w:sz w:val="32"/>
          <w:szCs w:val="32"/>
          <w:bdr w:val="none" w:color="auto" w:sz="0" w:space="0"/>
          <w:shd w:val="clear" w:fill="FCFCFC"/>
        </w:rPr>
        <w:t>85</w:t>
      </w:r>
      <w:r>
        <w:rPr>
          <w:rFonts w:hint="eastAsia" w:ascii="宋体" w:hAnsi="宋体" w:eastAsia="宋体" w:cs="宋体"/>
          <w:i w:val="0"/>
          <w:iCs w:val="0"/>
          <w:caps w:val="0"/>
          <w:color w:val="666666"/>
          <w:spacing w:val="0"/>
          <w:sz w:val="32"/>
          <w:szCs w:val="32"/>
          <w:bdr w:val="none" w:color="auto" w:sz="0" w:space="0"/>
          <w:shd w:val="clear" w:fill="FCFCFC"/>
        </w:rPr>
        <w:t>元以下、阿伐曲泊帕片小包装每盒价格最低已降至</w:t>
      </w:r>
      <w:r>
        <w:rPr>
          <w:rFonts w:hint="default" w:ascii="Times New Roman" w:hAnsi="Times New Roman" w:cs="Times New Roman"/>
          <w:i w:val="0"/>
          <w:iCs w:val="0"/>
          <w:caps w:val="0"/>
          <w:color w:val="666666"/>
          <w:spacing w:val="0"/>
          <w:sz w:val="32"/>
          <w:szCs w:val="32"/>
          <w:bdr w:val="none" w:color="auto" w:sz="0" w:space="0"/>
          <w:shd w:val="clear" w:fill="FCFCFC"/>
        </w:rPr>
        <w:t>90</w:t>
      </w:r>
      <w:r>
        <w:rPr>
          <w:rFonts w:hint="eastAsia" w:ascii="宋体" w:hAnsi="宋体" w:eastAsia="宋体" w:cs="宋体"/>
          <w:i w:val="0"/>
          <w:iCs w:val="0"/>
          <w:caps w:val="0"/>
          <w:color w:val="666666"/>
          <w:spacing w:val="0"/>
          <w:sz w:val="32"/>
          <w:szCs w:val="32"/>
          <w:bdr w:val="none" w:color="auto" w:sz="0" w:space="0"/>
          <w:shd w:val="clear" w:fill="FCFCFC"/>
        </w:rPr>
        <w:t>元以下、艾曲泊帕片小包装每盒价格最低已降至</w:t>
      </w:r>
      <w:r>
        <w:rPr>
          <w:rFonts w:hint="default" w:ascii="Times New Roman" w:hAnsi="Times New Roman" w:cs="Times New Roman"/>
          <w:i w:val="0"/>
          <w:iCs w:val="0"/>
          <w:caps w:val="0"/>
          <w:color w:val="666666"/>
          <w:spacing w:val="0"/>
          <w:sz w:val="32"/>
          <w:szCs w:val="32"/>
          <w:bdr w:val="none" w:color="auto" w:sz="0" w:space="0"/>
          <w:shd w:val="clear" w:fill="FCFCFC"/>
        </w:rPr>
        <w:t>70</w:t>
      </w:r>
      <w:r>
        <w:rPr>
          <w:rFonts w:hint="eastAsia" w:ascii="宋体" w:hAnsi="宋体" w:eastAsia="宋体" w:cs="宋体"/>
          <w:i w:val="0"/>
          <w:iCs w:val="0"/>
          <w:caps w:val="0"/>
          <w:color w:val="666666"/>
          <w:spacing w:val="0"/>
          <w:sz w:val="32"/>
          <w:szCs w:val="32"/>
          <w:bdr w:val="none" w:color="auto" w:sz="0" w:space="0"/>
          <w:shd w:val="clear" w:fill="FCFCFC"/>
        </w:rPr>
        <w:t>元以下。各联采办成员单位也要做好“比价小程序”的信息同步工作，方便广大参保群众了解相关药品价格的最新动态。</w:t>
      </w:r>
    </w:p>
    <w:p w14:paraId="09075E05">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0" w:afterAutospacing="0" w:line="480" w:lineRule="atLeast"/>
        <w:ind w:left="0" w:right="0" w:firstLine="640"/>
      </w:pPr>
      <w:r>
        <w:rPr>
          <w:rFonts w:hint="eastAsia" w:ascii="宋体" w:hAnsi="宋体" w:eastAsia="宋体" w:cs="宋体"/>
          <w:i w:val="0"/>
          <w:iCs w:val="0"/>
          <w:caps w:val="0"/>
          <w:color w:val="666666"/>
          <w:spacing w:val="0"/>
          <w:sz w:val="32"/>
          <w:szCs w:val="32"/>
          <w:bdr w:val="none" w:color="auto" w:sz="0" w:space="0"/>
          <w:shd w:val="clear" w:fill="FCFCFC"/>
        </w:rPr>
        <w:t>特此公告。</w:t>
      </w:r>
    </w:p>
    <w:p w14:paraId="03B82374">
      <w:pPr>
        <w:keepNext w:val="0"/>
        <w:keepLines w:val="0"/>
        <w:widowControl/>
        <w:suppressLineNumbers w:val="0"/>
        <w:shd w:val="clear" w:fill="FCFCFC"/>
        <w:spacing w:before="120" w:beforeAutospacing="0" w:after="144" w:afterAutospacing="0" w:line="336" w:lineRule="atLeast"/>
        <w:ind w:left="0" w:firstLine="0"/>
        <w:jc w:val="left"/>
        <w:rPr>
          <w:rFonts w:hint="default" w:ascii="Times New Roman" w:hAnsi="Times New Roman" w:cs="Times New Roman"/>
          <w:i w:val="0"/>
          <w:iCs w:val="0"/>
          <w:caps w:val="0"/>
          <w:color w:val="000000"/>
          <w:spacing w:val="0"/>
          <w:sz w:val="14"/>
          <w:szCs w:val="14"/>
        </w:rPr>
      </w:pPr>
    </w:p>
    <w:p w14:paraId="3EB54FE2">
      <w:pPr>
        <w:keepNext w:val="0"/>
        <w:keepLines w:val="0"/>
        <w:widowControl/>
        <w:suppressLineNumbers w:val="0"/>
        <w:pBdr>
          <w:top w:val="none" w:color="auto" w:sz="0" w:space="0"/>
          <w:left w:val="none" w:color="auto" w:sz="0" w:space="0"/>
          <w:bottom w:val="none" w:color="auto" w:sz="0" w:space="0"/>
          <w:right w:val="none" w:color="auto" w:sz="0" w:space="0"/>
        </w:pBdr>
        <w:shd w:val="clear" w:fill="FCFCFC"/>
        <w:spacing w:before="0" w:beforeAutospacing="0" w:after="0" w:afterAutospacing="0" w:line="560" w:lineRule="atLeast"/>
        <w:ind w:left="0" w:right="0" w:firstLine="645"/>
        <w:jc w:val="right"/>
      </w:pPr>
      <w:r>
        <w:rPr>
          <w:rFonts w:ascii="仿宋" w:hAnsi="仿宋" w:eastAsia="仿宋" w:cs="仿宋"/>
          <w:i w:val="0"/>
          <w:iCs w:val="0"/>
          <w:caps w:val="0"/>
          <w:color w:val="666666"/>
          <w:spacing w:val="0"/>
          <w:kern w:val="0"/>
          <w:sz w:val="32"/>
          <w:szCs w:val="32"/>
          <w:bdr w:val="none" w:color="auto" w:sz="0" w:space="0"/>
          <w:shd w:val="clear" w:fill="FCFCFC"/>
          <w:lang w:val="en-US" w:eastAsia="zh-CN" w:bidi="ar"/>
        </w:rPr>
        <w:t>国家组织药品联合采购办公室</w:t>
      </w:r>
    </w:p>
    <w:p w14:paraId="4AC7E942">
      <w:pPr>
        <w:keepNext w:val="0"/>
        <w:keepLines w:val="0"/>
        <w:widowControl/>
        <w:suppressLineNumbers w:val="0"/>
        <w:pBdr>
          <w:top w:val="none" w:color="auto" w:sz="0" w:space="0"/>
          <w:left w:val="none" w:color="auto" w:sz="0" w:space="0"/>
          <w:bottom w:val="none" w:color="auto" w:sz="0" w:space="0"/>
          <w:right w:val="none" w:color="auto" w:sz="0" w:space="0"/>
        </w:pBdr>
        <w:shd w:val="clear" w:fill="FCFCFC"/>
        <w:spacing w:before="0" w:beforeAutospacing="0" w:after="0" w:afterAutospacing="0" w:line="560" w:lineRule="atLeast"/>
        <w:ind w:left="0" w:right="0" w:firstLine="645"/>
        <w:jc w:val="right"/>
      </w:pPr>
      <w:r>
        <w:rPr>
          <w:rFonts w:hint="eastAsia" w:ascii="仿宋" w:hAnsi="仿宋" w:eastAsia="仿宋" w:cs="仿宋"/>
          <w:i w:val="0"/>
          <w:iCs w:val="0"/>
          <w:caps w:val="0"/>
          <w:color w:val="666666"/>
          <w:spacing w:val="0"/>
          <w:kern w:val="0"/>
          <w:sz w:val="32"/>
          <w:szCs w:val="32"/>
          <w:bdr w:val="none" w:color="auto" w:sz="0" w:space="0"/>
          <w:shd w:val="clear" w:fill="FCFCFC"/>
          <w:lang w:val="en-US" w:eastAsia="zh-CN" w:bidi="ar"/>
        </w:rPr>
        <w:t>2026年5月22日  </w:t>
      </w:r>
    </w:p>
    <w:p w14:paraId="5BA71D7C"/>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9C3316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5">
    <w:name w:val="Default Paragraph Font"/>
    <w:semiHidden/>
    <w:qFormat/>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 w:type="character" w:styleId="6">
    <w:name w:val="Hyperlink"/>
    <w:basedOn w:val="5"/>
    <w:uiPriority w:val="0"/>
    <w:rPr>
      <w:color w:val="0000FF"/>
      <w:u w:val="singl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1</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2026-05-25T08:29:04Z</dcterms:created>
  <dc:creator>dell</dc:creator>
  <cp:lastModifiedBy>LIXIA</cp:lastModifiedBy>
  <dcterms:modified xsi:type="dcterms:W3CDTF">2026-05-25T08:30:19Z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eyJoZGlkIjoiZTI4MWEzNjg1M2I4YWFhNzljYWY1NTY4N2JhMzhhMjIiLCJ1c2VySWQiOiI1NzE5OTkwOTAifQ==</vt:lpwstr>
  </property>
  <property fmtid="{D5CDD505-2E9C-101B-9397-08002B2CF9AE}" pid="4" name="ICV">
    <vt:lpwstr>E36A75D1ABF84088A1EB5E2EDDB93E12_12</vt:lpwstr>
  </property>
</Properties>
</file>