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settings.xml" ContentType="application/vnd.openxmlformats-officedocument.wordprocessingml.setting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fontTable.xml" ContentType="application/vnd.openxmlformats-officedocument.wordprocessingml.fontTable+xml"/>
  <Override PartName="/customXml/itemProps1.xml" ContentType="application/vnd.openxmlformats-officedocument.customXmlProperties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1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3" Type="http://schemas.openxmlformats.org/officeDocument/2006/relationships/extended-properties" Target="docProps/app.xml"/></Relationships>
</file>

<file path=word/document.xml><?xml version="1.0" encoding="utf-8"?>
<w:document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body>
    <w:p>
      <w:pPr>
        <w:jc w:val="center"/>
        <w:rPr>
          <w:rFonts w:ascii="新宋体" w:eastAsia="新宋体" w:cs="新宋体" w:hAnsi="新宋体"/>
          <w:b/>
          <w:bCs/>
          <w:sz w:val="44"/>
          <w:szCs w:val="44"/>
        </w:rPr>
      </w:pPr>
      <w:r>
        <w:rPr>
          <w:rFonts w:ascii="新宋体" w:eastAsia="新宋体" w:cs="新宋体" w:hAnsi="新宋体" w:hint="eastAsia"/>
          <w:b/>
          <w:bCs/>
          <w:sz w:val="44"/>
          <w:szCs w:val="44"/>
        </w:rPr>
        <w:t>赵县医疗保障局</w:t>
      </w:r>
    </w:p>
    <w:p>
      <w:pPr>
        <w:jc w:val="center"/>
        <w:rPr>
          <w:rFonts w:ascii="新宋体" w:eastAsia="新宋体" w:cs="新宋体" w:hAnsi="新宋体"/>
          <w:sz w:val="44"/>
          <w:szCs w:val="44"/>
        </w:rPr>
      </w:pPr>
      <w:r>
        <w:rPr>
          <w:rFonts w:ascii="新宋体" w:eastAsia="新宋体" w:cs="新宋体" w:hAnsi="新宋体" w:hint="eastAsia"/>
          <w:b/>
          <w:bCs/>
          <w:sz w:val="44"/>
          <w:szCs w:val="44"/>
        </w:rPr>
        <w:t>2025年度法治政府建设</w:t>
      </w:r>
      <w:r>
        <w:rPr>
          <w:rFonts w:ascii="新宋体" w:eastAsia="新宋体" w:cs="新宋体" w:hAnsi="新宋体"/>
          <w:b/>
          <w:bCs/>
          <w:sz w:val="44"/>
          <w:szCs w:val="44"/>
        </w:rPr>
        <w:t>情况报告</w:t>
      </w:r>
    </w:p>
    <w:p>
      <w:r>
        <w:rPr>
          <w:rFonts w:hint="eastAsia"/>
        </w:rPr>
        <w:t xml:space="preserve"> </w:t>
      </w:r>
    </w:p>
    <w:p>
      <w:pPr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仿宋" w:eastAsia="仿宋" w:cs="仿宋" w:hAnsi="仿宋" w:hint="eastAsia"/>
          <w:sz w:val="32"/>
          <w:szCs w:val="32"/>
        </w:rPr>
        <w:t>2025年，赵县医疗保障局深入学习贯彻习近平法治思想和党的二十大精神，全面落实法治政府建设工作部署，将法治理念贯穿医保基金监管、经办服务、政策落实全过程，以法治思维破解发展难题，以法治方式筑牢民生保障防线，各项工作取得显著成效。现将有关情况</w:t>
      </w:r>
      <w:r>
        <w:rPr>
          <w:rFonts w:ascii="仿宋" w:eastAsia="仿宋" w:cs="仿宋" w:hAnsi="仿宋"/>
          <w:sz w:val="32"/>
          <w:szCs w:val="32"/>
        </w:rPr>
        <w:t>报告</w:t>
      </w:r>
      <w:r>
        <w:rPr>
          <w:rFonts w:ascii="仿宋" w:eastAsia="仿宋" w:cs="仿宋" w:hAnsi="仿宋" w:hint="eastAsia"/>
          <w:sz w:val="32"/>
          <w:szCs w:val="32"/>
        </w:rPr>
        <w:t>如下：</w:t>
      </w:r>
    </w:p>
    <w:p>
      <w:pPr>
        <w:spacing w:line="560" w:lineRule="exact"/>
        <w:ind w:firstLineChars="200" w:firstLine="640"/>
        <w:rPr>
          <w:rFonts w:ascii="黑体" w:eastAsia="黑体" w:cs="黑体" w:hAnsi="黑体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一、工作开展情况</w:t>
      </w:r>
    </w:p>
    <w:p>
      <w:pPr>
        <w:spacing w:line="560" w:lineRule="exact"/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楷体" w:eastAsia="楷体" w:cs="楷体" w:hAnsi="楷体" w:hint="eastAsia"/>
          <w:sz w:val="32"/>
          <w:szCs w:val="32"/>
        </w:rPr>
        <w:t>（一）加强组织领导。</w:t>
      </w:r>
      <w:r>
        <w:rPr>
          <w:rFonts w:ascii="仿宋" w:eastAsia="仿宋" w:cs="仿宋" w:hAnsi="仿宋" w:hint="eastAsia"/>
          <w:sz w:val="32"/>
          <w:szCs w:val="32"/>
        </w:rPr>
        <w:t>一是明确单位主要负责人是推进法治政府建设第一责任人，切实履行法治政府建设重要组织者、推动者和实践者的职责，把推进法治政府建设情况作为主要负责人年度述职的重要内容，严格落实“一岗双责”要求，明确班子成员责任分工，切实抓好分管领域法治政府建设工作。二是日常强化监督，严格按照“有件必审、有件必备、有错必究”的原则，对本单位制定的规范性文件进行清理，确保政策依法实施。按照“谁主管、谁审批、谁负责”为审核原则，主动做好相关信息公开。</w:t>
      </w:r>
    </w:p>
    <w:p>
      <w:pPr>
        <w:ind w:firstLineChars="200" w:firstLine="640"/>
        <w:rPr>
          <w:rFonts w:ascii="仿宋" w:eastAsia="仿宋" w:cs="仿宋" w:hAnsi="仿宋"/>
          <w:sz w:val="32"/>
          <w:szCs w:val="32"/>
        </w:rPr>
      </w:pPr>
      <w:r>
        <w:rPr>
          <w:rFonts w:ascii="楷体" w:eastAsia="楷体" w:cs="楷体" w:hAnsi="楷体" w:hint="eastAsia"/>
          <w:sz w:val="32"/>
          <w:szCs w:val="32"/>
        </w:rPr>
        <w:t>（二）加强法治宣传教育。</w:t>
      </w:r>
      <w:r>
        <w:rPr>
          <w:rFonts w:ascii="仿宋" w:eastAsia="仿宋" w:cs="仿宋" w:hAnsi="仿宋" w:hint="eastAsia"/>
          <w:sz w:val="32"/>
          <w:szCs w:val="32"/>
        </w:rPr>
        <w:t>一是发挥带头作用。</w:t>
      </w:r>
      <w:r>
        <w:rPr>
          <w:rFonts w:ascii="仿宋" w:eastAsia="仿宋" w:cs="仿宋" w:hAnsi="仿宋" w:hint="eastAsia"/>
          <w:sz w:val="30"/>
          <w:szCs w:val="30"/>
        </w:rPr>
        <w:t>建立“领导带头学、干部常态学、岗位实践学”三维学习机制，</w:t>
      </w:r>
      <w:r>
        <w:rPr>
          <w:rFonts w:ascii="仿宋" w:eastAsia="仿宋" w:cs="仿宋" w:hAnsi="仿宋" w:hint="eastAsia"/>
          <w:sz w:val="32"/>
          <w:szCs w:val="32"/>
        </w:rPr>
        <w:t>形成主要领导总体抓、班子成员具体抓的工作格局。二是开展学习研讨。</w:t>
      </w:r>
      <w:r>
        <w:rPr>
          <w:rFonts w:ascii="仿宋" w:eastAsia="仿宋" w:cs="仿宋" w:hAnsi="仿宋" w:hint="eastAsia"/>
          <w:sz w:val="30"/>
          <w:szCs w:val="30"/>
        </w:rPr>
        <w:t>将习近平法治思想、《医疗保障基金使用监督管理条例》《行政处罚法》等纳入党组理论学习中心组、主题党日学习重点，通过“医保大讲堂”“以案释法”微讲座等形式，提升干部职工依法履职能力，实现执法人员学法全覆盖。</w:t>
      </w:r>
      <w:r>
        <w:rPr>
          <w:rFonts w:ascii="仿宋" w:eastAsia="仿宋" w:cs="仿宋" w:hAnsi="仿宋" w:hint="eastAsia"/>
          <w:sz w:val="32"/>
          <w:szCs w:val="32"/>
        </w:rPr>
        <w:t>三是推进法制宣传。4月份开展“医保基金监管集中宣传月”活动，扎实推进《医疗保障基金使用监督管理条例》宣传学习培训，赴定点机构开展《条例》宣传贯彻工作检查。</w:t>
      </w:r>
    </w:p>
    <w:p>
      <w:pPr>
        <w:pStyle w:val="17"/>
        <w:widowControl/>
        <w:spacing w:beforeAutospacing="0" w:afterAutospacing="0" w:line="560" w:lineRule="exact"/>
        <w:ind w:firstLineChars="200" w:firstLine="640"/>
        <w:jc w:val="both"/>
        <w:rPr>
          <w:rFonts w:ascii="仿宋" w:eastAsia="仿宋" w:cs="仿宋" w:hAnsi="仿宋"/>
          <w:kern w:val="2"/>
          <w:sz w:val="32"/>
          <w:szCs w:val="32"/>
        </w:rPr>
      </w:pPr>
      <w:r>
        <w:rPr>
          <w:rFonts w:ascii="楷体" w:eastAsia="楷体" w:cs="楷体" w:hAnsi="楷体" w:hint="eastAsia"/>
          <w:kern w:val="2"/>
          <w:sz w:val="32"/>
          <w:szCs w:val="32"/>
        </w:rPr>
        <w:t>(三)持续提升行政决策能力水平。</w:t>
      </w:r>
      <w:r>
        <w:rPr>
          <w:rFonts w:ascii="仿宋" w:eastAsia="仿宋" w:cs="仿宋" w:hAnsi="仿宋" w:hint="eastAsia"/>
          <w:kern w:val="2"/>
          <w:sz w:val="32"/>
          <w:szCs w:val="32"/>
        </w:rPr>
        <w:t>充分发挥政府法律顾问的专业优势，根据工作实际，将日常事务工作与法律顾问工作有机衔接，定期与法律顾问开展座谈交流，结合具体工作，对法律法规的法律和政策适用及重点条文进行解读，以事明法、以事释法，不断提升依法执政工作水平。通过落实法律顾问制度，在重要行政执法、投诉举报处理、推进依法行政中发挥了积极作用，进一步提升了医疗保障依法行政水平。</w:t>
      </w:r>
    </w:p>
    <w:p>
      <w:pPr>
        <w:pBdr>
          <w:bottom w:val="single" w:sz="4" w:space="31" w:color="FFFFFF"/>
        </w:pBdr>
        <w:tabs>
          <w:tab w:val="left" w:pos="1440"/>
        </w:tabs>
        <w:adjustRightInd w:val="0"/>
        <w:snapToGrid w:val="0"/>
        <w:spacing w:line="560" w:lineRule="exact"/>
        <w:ind w:firstLineChars="200" w:firstLine="640"/>
        <w:textAlignment w:val="bottom"/>
        <w:rPr>
          <w:rFonts w:ascii="仿宋" w:eastAsia="仿宋" w:cs="仿宋" w:hAnsi="仿宋" w:hint="eastAsia"/>
          <w:bCs/>
          <w:color w:val="auto"/>
          <w:kern w:val="0"/>
          <w:sz w:val="32"/>
          <w:szCs w:val="32"/>
        </w:rPr>
      </w:pPr>
      <w:r>
        <w:rPr>
          <w:rFonts w:ascii="楷体" w:eastAsia="楷体" w:cs="楷体" w:hAnsi="楷体" w:hint="eastAsia"/>
          <w:sz w:val="32"/>
          <w:szCs w:val="32"/>
        </w:rPr>
        <w:t>（四）推进医保法治化建设，主动保障参保群众权益。</w:t>
      </w:r>
      <w:r>
        <w:rPr>
          <w:rFonts w:ascii="仿宋" w:eastAsia="仿宋" w:cs="仿宋" w:hAnsi="仿宋" w:hint="eastAsia"/>
          <w:kern w:val="0"/>
          <w:sz w:val="32"/>
          <w:szCs w:val="32"/>
        </w:rPr>
        <w:t>医保局立足守好老百姓的“看病钱、救命钱”的角度，通过引导和执法两手抓，突出监管重点，狠抓规范引导，两定机构执法管理取得新成效。</w:t>
      </w:r>
      <w:r>
        <w:rPr>
          <w:rFonts w:ascii="仿宋" w:eastAsia="仿宋" w:cs="仿宋" w:hAnsi="仿宋" w:hint="eastAsia"/>
          <w:b/>
          <w:bCs/>
          <w:sz w:val="32"/>
          <w:szCs w:val="32"/>
        </w:rPr>
        <w:t>一是</w:t>
      </w:r>
      <w:r>
        <w:rPr>
          <w:rFonts w:ascii="仿宋" w:eastAsia="仿宋" w:cs="宋体" w:hAnsi="仿宋" w:hint="eastAsia"/>
          <w:color w:val="auto"/>
          <w:kern w:val="0"/>
          <w:sz w:val="32"/>
          <w:szCs w:val="32"/>
        </w:rPr>
        <w:t>坚持依法严管，加大打击力度。</w:t>
      </w:r>
      <w:r>
        <w:rPr>
          <w:rFonts w:ascii="仿宋" w:eastAsia="仿宋" w:hAnsi="仿宋" w:hint="eastAsia"/>
          <w:color w:val="auto"/>
          <w:sz w:val="32"/>
          <w:szCs w:val="32"/>
        </w:rPr>
        <w:t>今年以来</w:t>
      </w:r>
      <w:r>
        <w:rPr>
          <w:rFonts w:ascii="仿宋" w:eastAsia="仿宋" w:cs="仿宋" w:hAnsi="仿宋" w:hint="eastAsia"/>
          <w:color w:val="auto"/>
          <w:sz w:val="32"/>
          <w:szCs w:val="32"/>
        </w:rPr>
        <w:t>追回违规资金</w:t>
      </w:r>
      <w:r>
        <w:rPr>
          <w:rFonts w:ascii="仿宋" w:eastAsia="仿宋" w:hAnsi="仿宋" w:hint="eastAsia"/>
          <w:color w:val="auto"/>
          <w:sz w:val="32"/>
          <w:szCs w:val="32"/>
        </w:rPr>
        <w:t>587.53</w:t>
      </w:r>
      <w:r>
        <w:rPr>
          <w:rFonts w:ascii="仿宋" w:eastAsia="仿宋" w:cs="仿宋" w:hAnsi="仿宋" w:hint="eastAsia"/>
          <w:color w:val="auto"/>
          <w:sz w:val="32"/>
          <w:szCs w:val="32"/>
        </w:rPr>
        <w:t>万元，行政处罚2家，罚款3.41万元，暂停医保协议1家，解除定点协议2家，形成有力震慑。</w:t>
      </w:r>
      <w:r>
        <w:rPr>
          <w:rFonts w:ascii="仿宋" w:eastAsia="仿宋" w:cs="仿宋" w:hAnsi="仿宋"/>
          <w:b/>
          <w:bCs/>
          <w:color w:val="auto"/>
          <w:sz w:val="32"/>
          <w:szCs w:val="32"/>
        </w:rPr>
        <w:t>二</w:t>
      </w:r>
      <w:r>
        <w:rPr>
          <w:rFonts w:ascii="仿宋" w:eastAsia="仿宋" w:cs="仿宋" w:hAnsi="仿宋" w:hint="eastAsia"/>
          <w:b/>
          <w:bCs/>
          <w:color w:val="auto"/>
          <w:sz w:val="32"/>
          <w:szCs w:val="32"/>
        </w:rPr>
        <w:t>是</w:t>
      </w:r>
      <w:r>
        <w:rPr>
          <w:rFonts w:ascii="仿宋" w:eastAsia="仿宋" w:cs="仿宋" w:hAnsi="仿宋" w:hint="eastAsia"/>
          <w:color w:val="auto"/>
          <w:sz w:val="32"/>
          <w:szCs w:val="32"/>
        </w:rPr>
        <w:t>落实市局转发省局《国家医保局办公室关于开展医保基金管理突出问题专项整治“百日行动”的通知》的通知要求，大力</w:t>
      </w:r>
      <w:r>
        <w:rPr>
          <w:rFonts w:ascii="仿宋" w:eastAsia="仿宋" w:cs="仿宋" w:hAnsi="仿宋" w:hint="eastAsia"/>
          <w:bCs/>
          <w:color w:val="auto"/>
          <w:kern w:val="0"/>
          <w:sz w:val="32"/>
          <w:szCs w:val="32"/>
        </w:rPr>
        <w:t>开展倒卖医保回流药问题、违规超量开药问题、生育津贴骗保问题专项治理，上述问题线索一经发现，及时移交公安、卫健、市场监管、药监等相关部门，对查实的违法违规行为依法依规、从严从快处理。</w:t>
      </w:r>
      <w:r>
        <w:rPr>
          <w:rFonts w:ascii="仿宋" w:eastAsia="仿宋" w:cs="宋体" w:hAnsi="仿宋" w:hint="eastAsia"/>
          <w:color w:val="auto"/>
          <w:kern w:val="0"/>
          <w:sz w:val="32"/>
          <w:szCs w:val="32"/>
        </w:rPr>
        <w:t>强化行行衔接、行纪衔接、行刑衔接，在信息共享、协同检查、联合惩戒等方面同向发力，加快形成全方位、立体化的监管格局。</w:t>
      </w:r>
    </w:p>
    <w:p>
      <w:pPr>
        <w:pBdr>
          <w:bottom w:val="single" w:sz="4" w:space="31" w:color="FFFFFF"/>
        </w:pBdr>
        <w:tabs>
          <w:tab w:val="left" w:pos="1440"/>
        </w:tabs>
        <w:adjustRightInd w:val="0"/>
        <w:snapToGrid w:val="0"/>
        <w:spacing w:line="560" w:lineRule="exact"/>
        <w:ind w:firstLineChars="200" w:firstLine="640"/>
        <w:textAlignment w:val="bottom"/>
        <w:rPr>
          <w:rFonts w:ascii="仿宋" w:eastAsia="仿宋" w:cs="仿宋" w:hAnsi="仿宋" w:hint="eastAsia"/>
          <w:bCs/>
          <w:color w:val="FF0000"/>
          <w:kern w:val="0"/>
          <w:sz w:val="32"/>
          <w:szCs w:val="32"/>
        </w:rPr>
      </w:pPr>
      <w:r>
        <w:rPr>
          <w:rFonts w:ascii="黑体" w:eastAsia="黑体" w:cs="黑体" w:hAnsi="黑体" w:hint="eastAsia"/>
          <w:sz w:val="32"/>
          <w:szCs w:val="32"/>
        </w:rPr>
        <w:t>二、存在问题</w:t>
      </w:r>
    </w:p>
    <w:p>
      <w:pPr>
        <w:pBdr>
          <w:bottom w:val="single" w:sz="4" w:space="31" w:color="FFFFFF"/>
        </w:pBdr>
        <w:tabs>
          <w:tab w:val="left" w:pos="1440"/>
        </w:tabs>
        <w:adjustRightInd w:val="0"/>
        <w:snapToGrid w:val="0"/>
        <w:spacing w:line="560" w:lineRule="exact"/>
        <w:ind w:firstLineChars="200" w:firstLine="640"/>
        <w:textAlignment w:val="bottom"/>
        <w:rPr>
          <w:rFonts w:ascii="仿宋" w:eastAsia="仿宋" w:cs="仿宋" w:hAnsi="仿宋" w:hint="eastAsia"/>
          <w:bCs/>
          <w:color w:val="FF0000"/>
          <w:kern w:val="0"/>
          <w:sz w:val="32"/>
          <w:szCs w:val="32"/>
        </w:rPr>
      </w:pPr>
      <w:r>
        <w:rPr>
          <w:rFonts w:ascii="楷体" w:eastAsia="楷体" w:cs="楷体" w:hAnsi="楷体" w:hint="eastAsia"/>
          <w:sz w:val="32"/>
          <w:szCs w:val="32"/>
        </w:rPr>
        <w:t>（一）法治宣传精准度不足。</w:t>
      </w:r>
      <w:r>
        <w:rPr>
          <w:rFonts w:ascii="仿宋" w:eastAsia="仿宋" w:cs="仿宋" w:hAnsi="仿宋" w:hint="eastAsia"/>
          <w:sz w:val="32"/>
          <w:szCs w:val="32"/>
        </w:rPr>
        <w:t>普法宣传形式仍以传统方式为主，针对不同群体的个性化普法举措较少，部分群众和医药机构从业人员对医保法律法规理解不够深入。</w:t>
      </w:r>
    </w:p>
    <w:p>
      <w:pPr>
        <w:numPr>
          <w:ilvl w:val="0"/>
          <w:numId w:val="1"/>
        </w:numPr>
        <w:pBdr>
          <w:bottom w:val="single" w:sz="4" w:space="31" w:color="FFFFFF"/>
        </w:pBdr>
        <w:tabs>
          <w:tab w:val="left" w:pos="1440"/>
        </w:tabs>
        <w:adjustRightInd w:val="0"/>
        <w:snapToGrid w:val="0"/>
        <w:spacing w:line="560" w:lineRule="exact"/>
        <w:ind w:left="0" w:firstLineChars="200" w:firstLine="640"/>
        <w:textAlignment w:val="bottom"/>
        <w:rPr>
          <w:rFonts w:ascii="仿宋" w:eastAsia="仿宋" w:cs="仿宋" w:hAnsi="仿宋" w:hint="eastAsia"/>
          <w:sz w:val="32"/>
          <w:szCs w:val="32"/>
        </w:rPr>
      </w:pPr>
      <w:bookmarkStart w:id="0" w:name="_GoBack"/>
      <w:bookmarkEnd w:id="0"/>
      <w:r>
        <w:rPr>
          <w:rFonts w:ascii="楷体" w:eastAsia="楷体" w:cs="楷体" w:hAnsi="楷体" w:hint="eastAsia"/>
          <w:sz w:val="32"/>
          <w:szCs w:val="32"/>
        </w:rPr>
        <w:t>执法队伍专业能力有待提升。</w:t>
      </w:r>
      <w:r>
        <w:rPr>
          <w:rFonts w:ascii="仿宋" w:eastAsia="仿宋" w:cs="仿宋" w:hAnsi="仿宋" w:hint="eastAsia"/>
          <w:sz w:val="32"/>
          <w:szCs w:val="32"/>
        </w:rPr>
        <w:t>面对新型欺诈骗保手段，执法人员在证据固定、法律适用等方面的专业能力仍需加强，法治思维和执法水平有待进一步提升。</w:t>
      </w:r>
    </w:p>
    <w:p>
      <w:pPr>
        <w:numPr>
          <w:ilvl w:val="0"/>
          <w:numId w:val="1"/>
        </w:numPr>
        <w:pBdr>
          <w:bottom w:val="single" w:sz="4" w:space="31" w:color="FFFFFF"/>
        </w:pBdr>
        <w:tabs>
          <w:tab w:val="left" w:pos="1440"/>
        </w:tabs>
        <w:adjustRightInd w:val="0"/>
        <w:snapToGrid w:val="0"/>
        <w:spacing w:line="560" w:lineRule="exact"/>
        <w:ind w:left="0" w:firstLineChars="200" w:firstLine="640"/>
        <w:textAlignment w:val="bottom"/>
        <w:rPr>
          <w:rFonts w:ascii="仿宋" w:eastAsia="仿宋" w:cs="仿宋" w:hAnsi="仿宋" w:hint="eastAsia"/>
          <w:sz w:val="32"/>
          <w:szCs w:val="32"/>
        </w:rPr>
      </w:pPr>
      <w:r>
        <w:rPr>
          <w:rFonts w:ascii="楷体" w:eastAsia="楷体" w:cs="楷体" w:hAnsi="楷体" w:hint="eastAsia"/>
          <w:sz w:val="32"/>
          <w:szCs w:val="32"/>
        </w:rPr>
        <w:t>长效监管机制仍需完善。</w:t>
      </w:r>
      <w:r>
        <w:rPr>
          <w:rFonts w:ascii="仿宋" w:eastAsia="仿宋" w:cs="仿宋" w:hAnsi="仿宋" w:hint="eastAsia"/>
          <w:sz w:val="32"/>
          <w:szCs w:val="32"/>
        </w:rPr>
        <w:t>智能监管系统应用深度不够，部门间信息共享和联合执法协同性有待增强，全方位、常态化监管格局仍需持续巩固。</w:t>
      </w:r>
      <w:r>
        <w:rPr>
          <w:rFonts w:ascii="仿宋" w:eastAsia="仿宋" w:cs="仿宋" w:hAnsi="仿宋" w:hint="eastAsia"/>
          <w:sz w:val="32"/>
          <w:szCs w:val="32"/>
          <w:lang w:val="en-US" w:eastAsia="zh-CN"/>
        </w:rPr>
        <w:t xml:space="preserve">     </w:t>
        <w:br/>
        <w:t xml:space="preserve">    </w:t>
      </w:r>
      <w:r>
        <w:rPr>
          <w:rFonts w:ascii="黑体" w:eastAsia="黑体" w:cs="黑体" w:hAnsi="黑体" w:hint="eastAsia"/>
          <w:b/>
          <w:bCs/>
          <w:sz w:val="32"/>
          <w:szCs w:val="32"/>
          <w:lang w:val="en-US" w:eastAsia="zh-CN"/>
        </w:rPr>
        <w:t>三、</w:t>
      </w:r>
      <w:r>
        <w:rPr>
          <w:rFonts w:ascii="黑体" w:eastAsia="黑体" w:cs="黑体" w:hAnsi="黑体" w:hint="eastAsia"/>
          <w:sz w:val="32"/>
          <w:szCs w:val="32"/>
        </w:rPr>
        <w:t>下一步工作计划</w:t>
      </w:r>
    </w:p>
    <w:p>
      <w:pPr>
        <w:numPr>
          <w:ilvl w:val="0"/>
          <w:numId w:val="2"/>
        </w:numPr>
        <w:pBdr>
          <w:bottom w:val="single" w:sz="4" w:space="31" w:color="FFFFFF"/>
        </w:pBdr>
        <w:tabs>
          <w:tab w:val="left" w:pos="1440"/>
        </w:tabs>
        <w:adjustRightInd w:val="0"/>
        <w:snapToGrid w:val="0"/>
        <w:spacing w:line="560" w:lineRule="exact"/>
        <w:ind w:left="0" w:firstLineChars="200" w:firstLine="640"/>
        <w:textAlignment w:val="bottom"/>
        <w:rPr>
          <w:rFonts w:ascii="仿宋" w:eastAsia="仿宋" w:cs="仿宋" w:hAnsi="仿宋" w:hint="eastAsia"/>
          <w:sz w:val="32"/>
          <w:szCs w:val="32"/>
        </w:rPr>
      </w:pPr>
      <w:r>
        <w:rPr>
          <w:rFonts w:ascii="楷体" w:eastAsia="楷体" w:cs="楷体" w:hAnsi="楷体" w:hint="eastAsia"/>
          <w:sz w:val="32"/>
          <w:szCs w:val="32"/>
        </w:rPr>
        <w:t>提升执法人员能力素质水平。</w:t>
      </w:r>
      <w:r>
        <w:rPr>
          <w:rFonts w:ascii="仿宋" w:eastAsia="仿宋" w:cs="仿宋" w:hAnsi="仿宋" w:hint="eastAsia"/>
          <w:sz w:val="32"/>
          <w:szCs w:val="32"/>
        </w:rPr>
        <w:t>持续落实领导班子集体学法、执法人员业务培训制度，加强执法人员上岗、在岗培训，组织岗位人员认真学习业务知识、强化职业道德和廉政警示教育，教育广大干部职工学法懂法、廉洁自律，进一步提升执法人员素质。</w:t>
      </w:r>
    </w:p>
    <w:p>
      <w:pPr>
        <w:numPr>
          <w:ilvl w:val="0"/>
          <w:numId w:val="2"/>
        </w:numPr>
        <w:pBdr>
          <w:bottom w:val="single" w:sz="4" w:space="31" w:color="FFFFFF"/>
        </w:pBdr>
        <w:tabs>
          <w:tab w:val="left" w:pos="1440"/>
        </w:tabs>
        <w:adjustRightInd w:val="0"/>
        <w:snapToGrid w:val="0"/>
        <w:spacing w:line="560" w:lineRule="exact"/>
        <w:ind w:left="0" w:firstLineChars="200" w:firstLine="640"/>
        <w:textAlignment w:val="bottom"/>
        <w:rPr>
          <w:rFonts w:ascii="仿宋" w:eastAsia="仿宋" w:cs="仿宋" w:hAnsi="仿宋" w:hint="eastAsia"/>
          <w:sz w:val="32"/>
          <w:szCs w:val="32"/>
        </w:rPr>
      </w:pPr>
      <w:r>
        <w:rPr>
          <w:rFonts w:ascii="楷体" w:eastAsia="楷体" w:cs="楷体" w:hAnsi="楷体" w:hint="eastAsia"/>
          <w:sz w:val="32"/>
          <w:szCs w:val="32"/>
        </w:rPr>
        <w:t>增强法治宣传教育培训。</w:t>
      </w:r>
      <w:r>
        <w:rPr>
          <w:rFonts w:ascii="仿宋" w:eastAsia="仿宋" w:cs="仿宋" w:hAnsi="仿宋" w:hint="eastAsia"/>
          <w:sz w:val="32"/>
          <w:szCs w:val="32"/>
        </w:rPr>
        <w:t>认真组织好本单位行政执法人员的培训，特别是医保基金监管相关法律知识的培训，增强行政执法人员对法律法规的敬畏感，打造政治合格、纪律严明、业务精通、作风过硬的行政执法队伍。　</w:t>
      </w:r>
    </w:p>
    <w:p>
      <w:pPr>
        <w:numPr>
          <w:ilvl w:val="0"/>
          <w:numId w:val="2"/>
        </w:numPr>
        <w:pBdr>
          <w:bottom w:val="single" w:sz="4" w:space="31" w:color="FFFFFF"/>
        </w:pBdr>
        <w:tabs>
          <w:tab w:val="left" w:pos="1440"/>
        </w:tabs>
        <w:adjustRightInd w:val="0"/>
        <w:snapToGrid w:val="0"/>
        <w:spacing w:line="560" w:lineRule="exact"/>
        <w:ind w:left="0" w:firstLineChars="200" w:firstLine="640"/>
        <w:textAlignment w:val="bottom"/>
        <w:rPr>
          <w:rFonts w:ascii="仿宋" w:eastAsia="仿宋" w:cs="仿宋" w:hAnsi="仿宋" w:hint="eastAsia"/>
          <w:sz w:val="32"/>
          <w:szCs w:val="32"/>
        </w:rPr>
      </w:pPr>
      <w:r>
        <w:rPr>
          <w:rFonts w:ascii="楷体" w:eastAsia="楷体" w:cs="楷体" w:hAnsi="楷体" w:hint="eastAsia"/>
          <w:sz w:val="32"/>
          <w:szCs w:val="32"/>
        </w:rPr>
        <w:t>突出普法宣传重点。</w:t>
      </w:r>
      <w:r>
        <w:rPr>
          <w:rFonts w:ascii="仿宋" w:eastAsia="仿宋" w:cs="仿宋" w:hAnsi="仿宋" w:hint="eastAsia"/>
          <w:sz w:val="32"/>
          <w:szCs w:val="32"/>
        </w:rPr>
        <w:t>多措并举不断强化法治宣传力度，把全民参保、打击欺诈骗保、待遇享受、慢特病申报、医疗救助、医保电子凭证推广等医保政策宣传工作与法治宣传工作相结合，积极引导全社会依法行动、依法行事，为依法行政创造一个良好的法律环境。</w:t>
      </w:r>
    </w:p>
    <w:p>
      <w:pPr>
        <w:pBdr>
          <w:bottom w:val="single" w:sz="4" w:space="31" w:color="FFFFFF"/>
        </w:pBdr>
        <w:tabs>
          <w:tab w:val="left" w:pos="1440"/>
        </w:tabs>
        <w:adjustRightInd w:val="0"/>
        <w:snapToGrid w:val="0"/>
        <w:spacing w:line="560" w:lineRule="exact"/>
        <w:ind w:left="0" w:firstLineChars="200" w:firstLine="640"/>
        <w:textAlignment w:val="bottom"/>
        <w:rPr>
          <w:rFonts w:ascii="仿宋" w:eastAsia="仿宋" w:cs="仿宋" w:hAnsi="仿宋"/>
          <w:sz w:val="30"/>
          <w:szCs w:val="30"/>
        </w:rPr>
      </w:pPr>
      <w:r>
        <w:rPr>
          <w:rFonts w:ascii="楷体" w:eastAsia="楷体" w:cs="楷体" w:hAnsi="楷体" w:hint="eastAsia"/>
          <w:sz w:val="32"/>
          <w:szCs w:val="32"/>
        </w:rPr>
        <w:t>（四）优化法治服务举措。</w:t>
      </w:r>
      <w:r>
        <w:rPr>
          <w:rFonts w:ascii="仿宋" w:eastAsia="仿宋" w:cs="仿宋" w:hAnsi="仿宋" w:hint="eastAsia"/>
          <w:sz w:val="32"/>
          <w:szCs w:val="32"/>
        </w:rPr>
        <w:t>持续推进经办服务法治化、规范化，进一步简化流程、压缩时限，提升“互联网+医保服务”水平。健全群众诉求快速响应机制，及时解决群众急难愁盼问题，以法治建设成果切实增进民生福祉。</w:t>
      </w:r>
    </w:p>
    <w:p>
      <w:pPr>
        <w:rPr>
          <w:rFonts w:ascii="仿宋" w:eastAsia="仿宋" w:cs="仿宋" w:hAnsi="仿宋"/>
          <w:sz w:val="30"/>
          <w:szCs w:val="30"/>
        </w:rPr>
      </w:pPr>
      <w:r>
        <w:rPr>
          <w:rFonts w:ascii="仿宋" w:eastAsia="仿宋" w:cs="仿宋" w:hAnsi="仿宋" w:hint="eastAsia"/>
          <w:sz w:val="30"/>
          <w:szCs w:val="30"/>
        </w:rPr>
        <w:t xml:space="preserve"> </w:t>
      </w:r>
      <w:r>
        <w:rPr>
          <w:rFonts w:ascii="仿宋" w:eastAsia="仿宋" w:cs="仿宋" w:hAnsi="仿宋" w:hint="eastAsia"/>
          <w:sz w:val="30"/>
          <w:szCs w:val="30"/>
          <w:lang w:val="en-US" w:eastAsia="zh-CN"/>
        </w:rPr>
        <w:t xml:space="preserve">                                 </w:t>
      </w:r>
      <w:r>
        <w:rPr>
          <w:rFonts w:ascii="仿宋" w:eastAsia="仿宋" w:cs="仿宋" w:hAnsi="仿宋" w:hint="eastAsia"/>
          <w:sz w:val="30"/>
          <w:szCs w:val="30"/>
        </w:rPr>
        <w:t>赵县医疗保障局</w:t>
      </w:r>
    </w:p>
    <w:p>
      <w:pPr>
        <w:ind w:firstLineChars="1700" w:firstLine="5100"/>
        <w:rPr>
          <w:rFonts w:ascii="仿宋" w:eastAsia="仿宋" w:cs="仿宋" w:hAnsi="仿宋"/>
          <w:sz w:val="30"/>
          <w:szCs w:val="30"/>
        </w:rPr>
      </w:pPr>
      <w:r>
        <w:rPr>
          <w:rFonts w:ascii="仿宋" w:eastAsia="仿宋" w:cs="仿宋" w:hAnsi="仿宋" w:hint="eastAsia"/>
          <w:sz w:val="30"/>
          <w:szCs w:val="30"/>
        </w:rPr>
        <w:t>202</w:t>
      </w:r>
      <w:r>
        <w:rPr>
          <w:rFonts w:ascii="仿宋" w:eastAsia="仿宋" w:cs="仿宋" w:hAnsi="仿宋"/>
          <w:sz w:val="30"/>
          <w:szCs w:val="30"/>
        </w:rPr>
        <w:t>6</w:t>
      </w:r>
      <w:r>
        <w:rPr>
          <w:rFonts w:ascii="仿宋" w:eastAsia="仿宋" w:cs="仿宋" w:hAnsi="仿宋" w:hint="eastAsia"/>
          <w:sz w:val="30"/>
          <w:szCs w:val="30"/>
        </w:rPr>
        <w:t>年1月</w:t>
      </w:r>
      <w:r>
        <w:rPr>
          <w:rFonts w:ascii="仿宋" w:eastAsia="仿宋" w:cs="仿宋" w:hAnsi="仿宋"/>
          <w:sz w:val="30"/>
          <w:szCs w:val="30"/>
        </w:rPr>
        <w:t>13</w:t>
      </w:r>
      <w:r>
        <w:rPr>
          <w:rFonts w:ascii="仿宋" w:eastAsia="仿宋" w:cs="仿宋" w:hAnsi="仿宋" w:hint="eastAsia"/>
          <w:sz w:val="30"/>
          <w:szCs w:val="30"/>
        </w:rPr>
        <w:t>日</w:t>
      </w:r>
    </w:p>
    <w:p/>
    <w:sectPr>
      <w:headerReference w:type="default" r:id="rId2"/>
      <w:footerReference w:type="default" r:id="rId3"/>
      <w:pgSz w:w="11906" w:h="16838"/>
      <w:pgMar w:top="1440" w:right="1800" w:bottom="1440" w:left="1800" w:header="851" w:footer="992" w:gutter="0"/>
      <w:pgNumType w:fmt="numberInDash"/>
      <w:cols w:num="1" w:space="425"/>
      <w:docGrid w:type="lines" w:linePitch="312" w:charSpace="0"/>
    </w:sectPr>
  </w:body>
</w:document>
</file>

<file path=word/fontTable.xml><?xml version="1.0" encoding="utf-8"?>
<w:fonts xmlns:w="http://schemas.openxmlformats.org/wordprocessingml/2006/main" xmlns:r="http://schemas.openxmlformats.org/officeDocument/2006/relationships">
  <w:font w:name="宋体">
    <w:panose1 w:val="02010600030101010101"/>
    <w:charset w:val="86"/>
    <w:family w:val="auto"/>
    <w:pitch w:val="variable"/>
    <w:sig w:usb0="00000003" w:usb1="080E0000" w:usb2="00000000" w:usb3="00000000" w:csb0="00040001" w:csb1="00000000"/>
  </w:font>
  <w:font w:name="新宋体">
    <w:panose1 w:val="02010609030101010101"/>
    <w:charset w:val="86"/>
    <w:family w:val="modern"/>
    <w:pitch w:val="variable"/>
    <w:sig w:usb0="00000203" w:usb1="288F0000" w:usb2="00000006" w:usb3="00000000" w:csb0="00040001" w:csb1="00000000"/>
  </w:font>
  <w:font w:name="仿宋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黑体">
    <w:panose1 w:val="02010609060101010101"/>
    <w:charset w:val="86"/>
    <w:family w:val="auto"/>
    <w:pitch w:val="variable"/>
    <w:sig w:usb0="800002BF" w:usb1="38CF7CFA" w:usb2="00000016" w:usb3="00000000" w:csb0="00040001" w:csb1="00000000"/>
  </w:font>
  <w:font w:name="楷体">
    <w:panose1 w:val="02010609060101010101"/>
    <w:charset w:val="86"/>
    <w:family w:val="modern"/>
    <w:pitch w:val="variable"/>
    <w:sig w:usb0="800002BF" w:usb1="38CF7CFA" w:usb2="00000016" w:usb3="00000000" w:csb0="00040001" w:csb1="00000000"/>
  </w:font>
  <w:font w:name="Times New Roman">
    <w:panose1 w:val="02020603050405020304"/>
    <w:charset w:val="00"/>
    <w:family w:val="auto"/>
    <w:pitch w:val="variable"/>
    <w:sig w:usb0="00000A87" w:usb1="00000000" w:usb2="00000000" w:usb3="00000000" w:csb0="400001BF" w:csb1="DFF70000"/>
  </w:font>
  <w:font w:name="Arial">
    <w:panose1 w:val="020B0604020202020204"/>
    <w:charset w:val="00"/>
    <w:family w:val="auto"/>
    <w:pitch w:val="variable"/>
    <w:sig w:usb0="00007A87" w:usb1="80000000" w:usb2="00000008" w:usb3="00000000" w:csb0="400001FF" w:csb1="FFFF0000"/>
  </w:font>
  <w:font w:name="Calibri">
    <w:panose1 w:val="020F0502020204030204"/>
    <w:charset w:val="00"/>
    <w:family w:val="swiss"/>
    <w:pitch w:val="variable"/>
    <w:sig w:usb0="E4002EFF" w:usb1="C000247B" w:usb2="00000009" w:usb3="00000000" w:csb0="200001FF" w:csb1="00000000"/>
  </w:font>
</w:fonts>
</file>

<file path=word/footer1.xml><?xml version="1.0" encoding="utf-8"?>
<w:ft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35"/>
      <w:framePr w:w="0" w:hRule="auto" w:wrap="around" w:vAnchor="text" w:hAnchor="margin" w:xAlign="center" w:y="1" w:anchorLock="0"/>
      <w:p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pBdr>
      <w:tabs>
        <w:tab w:val="center" w:pos="4153"/>
        <w:tab w:val="right" w:pos="8307"/>
      </w:tabs>
      <w:rPr>
        <w:rFonts w:ascii="宋体" w:cs="宋体" w:hAnsi="宋体" w:hint="eastAsia"/>
        <w:sz w:val="28"/>
        <w:szCs w:val="28"/>
      </w:rPr>
    </w:pPr>
    <w:r>
      <w:rPr>
        <w:rStyle w:val="43"/>
        <w:rFonts w:ascii="宋体" w:cs="宋体" w:hAnsi="宋体" w:hint="eastAsia"/>
        <w:sz w:val="28"/>
        <w:szCs w:val="28"/>
      </w:rPr>
      <w:fldChar w:fldCharType="begin"/>
    </w:r>
    <w:r>
      <w:rPr>
        <w:rStyle w:val="43"/>
        <w:rFonts w:ascii="宋体" w:cs="宋体" w:hAnsi="宋体" w:hint="eastAsia"/>
        <w:sz w:val="28"/>
        <w:szCs w:val="28"/>
      </w:rPr>
      <w:instrText>Page</w:instrText>
    </w:r>
    <w:r>
      <w:rPr>
        <w:rStyle w:val="43"/>
        <w:rFonts w:ascii="宋体" w:cs="宋体" w:hAnsi="宋体" w:hint="eastAsia"/>
        <w:sz w:val="28"/>
        <w:szCs w:val="28"/>
      </w:rPr>
      <w:fldChar w:fldCharType="separate"/>
    </w:r>
    <w:r>
      <w:rPr>
        <w:rStyle w:val="43"/>
        <w:rFonts w:ascii="宋体" w:cs="宋体" w:hAnsi="宋体" w:hint="eastAsia"/>
        <w:sz w:val="28"/>
        <w:szCs w:val="28"/>
      </w:rPr>
      <w:t>1</w:t>
    </w:r>
    <w:r>
      <w:rPr>
        <w:rStyle w:val="43"/>
        <w:rFonts w:ascii="宋体" w:cs="宋体" w:hAnsi="宋体" w:hint="eastAsia"/>
        <w:sz w:val="28"/>
        <w:szCs w:val="28"/>
      </w:rPr>
      <w:fldChar w:fldCharType="end"/>
    </w:r>
  </w:p>
  <w:p>
    <w:pPr>
      <w:pStyle w:val="35"/>
      <w:tabs>
        <w:tab w:val="center" w:pos="4153"/>
        <w:tab w:val="right" w:pos="8307"/>
      </w:tabs>
    </w:pPr>
  </w:p>
</w:ftr>
</file>

<file path=word/header1.xml><?xml version="1.0" encoding="utf-8"?>
<w:hdr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a="http://schemas.openxmlformats.org/drawingml/2006/main" xmlns:wps="http://schemas.microsoft.com/office/word/2010/wordprocessingShape" xmlns:wp="http://schemas.openxmlformats.org/drawingml/2006/wordprocessingDrawing" xmlns:pic="http://schemas.openxmlformats.org/drawingml/2006/picture" xmlns:wp14="http://schemas.microsoft.com/office/word/2010/wordprocessingDrawing" xmlns:mc="http://schemas.openxmlformats.org/markup-compatibility/2006" xmlns:wpg="http://schemas.microsoft.com/office/word/2010/wordprocessingGroup" xmlns:wpc="http://schemas.microsoft.com/office/word/2010/wordprocessingCanvas" xmlns:w10="urn:schemas-microsoft-com:office:word" xmlns:w14="http://schemas.microsoft.com/office/word/2010/wordml" xmlns:w15="http://schemas.microsoft.com/office/word/2012/wordml" xmlns:a14="http://schemas.microsoft.com/office/drawing/2010/main" mc:Ignorable="w14 w15">
  <w:p>
    <w:pPr>
      <w:pStyle w:val="15"/>
      <w:pBdr>
        <w:bottom w:val="none" w:sz="0" w:space="0" w:color="auto"/>
      </w:pBdr>
      <w:tabs>
        <w:tab w:val="center" w:pos="4153"/>
        <w:tab w:val="right" w:pos="8306"/>
      </w:tabs>
    </w:pPr>
  </w:p>
</w:hdr>
</file>

<file path=word/numbering.xml><?xml version="1.0" encoding="utf-8"?>
<w:numbering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 xmlns:mc="http://schemas.openxmlformats.org/markup-compatibility/2006" xmlns:w14="http://schemas.microsoft.com/office/word/2010/wordml">
  <w:abstractNum w:abstractNumId="0">
    <w:nsid w:val="4CA6A6D9"/>
    <w:multiLevelType w:val="singleLevel"/>
    <w:tmpl w:val="4CA6A6D9"/>
    <w:lvl w:ilvl="0">
      <w:start w:val="2"/>
      <w:numFmt w:val="chineseCounting"/>
      <w:lvlRestart w:val="0"/>
      <w:suff w:val="nothing"/>
      <w:lvlText w:val="（%1）"/>
      <w:lvlJc w:val="left"/>
      <w:pPr/>
      <w:rPr>
        <w:rFonts w:hint="eastAsia"/>
      </w:rPr>
    </w:lvl>
  </w:abstractNum>
  <w:abstractNum w:abstractNumId="1">
    <w:nsid w:val="0A511204"/>
    <w:multiLevelType w:val="singleLevel"/>
    <w:tmpl w:val="0A511204"/>
    <w:lvl w:ilvl="0">
      <w:start w:val="1"/>
      <w:numFmt w:val="chineseCounting"/>
      <w:lvlRestart w:val="0"/>
      <w:suff w:val="nothing"/>
      <w:lvlText w:val="（%1）"/>
      <w:lvlJc w:val="left"/>
      <w:pPr/>
      <w:rPr>
        <w:rFonts w:hint="eastAsi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w="http://schemas.openxmlformats.org/wordprocessingml/2006/main" xmlns:o="urn:schemas-microsoft-com:office:office" xmlns:r="http://schemas.openxmlformats.org/officeDocument/2006/relationships" xmlns:m="http://schemas.openxmlformats.org/officeDocument/2006/math" xmlns:v="urn:schemas-microsoft-com:vml">
  <w:zoom w:percent="119"/>
  <w:displayBackgroundShape/>
  <w:bordersDoNotSurroundHeader/>
  <w:bordersDoNotSurroundFooter/>
  <w:defaultTabStop w:val="420"/>
  <w:drawingGridHorizontalSpacing w:val="105"/>
  <w:drawingGridVerticalSpacing w:val="156"/>
  <w:displayHorizontalDrawingGridEvery w:val="0"/>
  <w:displayVerticalDrawingGridEvery w:val="1"/>
  <w:characterSpacingControl w:val="compressPunctuation"/>
  <w:compat>
    <w:spaceForUL/>
    <w:balanceSingleByteDoubleByteWidth/>
    <w:ulTrailSpace/>
    <w:doNotExpandShiftReturn/>
    <w:adjustLineHeightInTable/>
    <w:compatSetting w:name="compatibilityMode" w:uri="http://schemas.microsoft.com/office/word" w:val="15"/>
  </w:compat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doNotIncludeSubdocsInStats/>
</w:settings>
</file>

<file path=word/styles.xml><?xml version="1.0" encoding="utf-8"?>
<w:styles xmlns:w="http://schemas.openxmlformats.org/wordprocessingml/2006/main" xmlns:r="http://schemas.openxmlformats.org/officeDocument/2006/relationships">
  <w:docDefaults>
    <w:rPrDefault>
      <w:rPr>
        <w:rFonts w:ascii="Times New Roman" w:eastAsia="宋体" w:hAnsi="Times New Roman" w:cs="Arial"/>
        <w:lang w:val="en-US" w:eastAsia="zh-CN" w:bidi="ar-SA"/>
      </w:rPr>
    </w:rPrDefault>
    <w:pPrDefault/>
  </w:docDefaults>
  <w:style w:type="paragraph" w:default="1" w:styleId="0">
    <w:name w:val="Normal"/>
    <w:qFormat/>
    <w:pPr>
      <w:widowControl w:val="0"/>
      <w:jc w:val="both"/>
    </w:pPr>
    <w:rPr>
      <w:rFonts w:ascii="Calibri" w:eastAsia="宋体" w:cs="Arial" w:hAnsi="Calibri"/>
      <w:kern w:val="2"/>
      <w:sz w:val="21"/>
      <w:szCs w:val="24"/>
      <w:lang w:val="en-US" w:eastAsia="zh-CN" w:bidi="ar-SA"/>
    </w:rPr>
  </w:style>
  <w:style w:type="paragraph" w:styleId="1">
    <w:name w:val="heading 1"/>
    <w:qFormat/>
    <w:basedOn w:val="0"/>
    <w:next w:val="0"/>
    <w:link w:val="1Char"/>
    <w:pPr>
      <w:keepNext/>
      <w:keepLines/>
      <w:spacing w:before="340" w:after="330" w:line="578" w:lineRule="auto"/>
      <w:outlineLvl w:val="0"/>
    </w:pPr>
    <w:rPr>
      <w:b/>
      <w:bCs/>
      <w:kern w:val="44"/>
      <w:sz w:val="44"/>
      <w:szCs w:val="44"/>
    </w:rPr>
  </w:style>
  <w:style w:type="character" w:customStyle="1" w:styleId="1Char">
    <w:name w:val="heading 1 Char"/>
    <w:basedOn w:val="10"/>
    <w:link w:val="1"/>
    <w:rPr>
      <w:rFonts w:ascii="Calibri" w:eastAsia="宋体" w:cs="Arial" w:hAnsi="Calibri"/>
      <w:b/>
      <w:bCs/>
      <w:kern w:val="44"/>
      <w:sz w:val="44"/>
      <w:szCs w:val="44"/>
      <w:lang w:val="en-US" w:eastAsia="zh-CN" w:bidi="ar-SA"/>
    </w:rPr>
  </w:style>
  <w:style w:type="paragraph" w:styleId="2">
    <w:name w:val="heading 2"/>
    <w:qFormat/>
    <w:basedOn w:val="0"/>
    <w:next w:val="0"/>
    <w:link w:val="2Char"/>
    <w:pPr>
      <w:keepNext/>
      <w:keepLines/>
      <w:spacing w:before="260" w:after="260" w:line="415" w:lineRule="auto"/>
      <w:outlineLvl w:val="1"/>
    </w:pPr>
    <w:rPr>
      <w:rFonts w:ascii="Times New Roman" w:eastAsia="黑体" w:hAnsi="Times New Roman"/>
      <w:b/>
      <w:bCs/>
      <w:sz w:val="32"/>
      <w:szCs w:val="32"/>
    </w:rPr>
  </w:style>
  <w:style w:type="character" w:customStyle="1" w:styleId="2Char">
    <w:name w:val="heading 2 Char"/>
    <w:basedOn w:val="10"/>
    <w:link w:val="2"/>
    <w:rPr>
      <w:rFonts w:ascii="Times New Roman" w:eastAsia="黑体" w:cs="Arial" w:hAnsi="Times New Roman"/>
      <w:b/>
      <w:bCs/>
      <w:kern w:val="2"/>
      <w:sz w:val="32"/>
      <w:szCs w:val="32"/>
      <w:lang w:val="en-US" w:eastAsia="zh-CN" w:bidi="ar-SA"/>
    </w:rPr>
  </w:style>
  <w:style w:type="paragraph" w:styleId="3">
    <w:name w:val="heading 3"/>
    <w:qFormat/>
    <w:basedOn w:val="0"/>
    <w:next w:val="0"/>
    <w:link w:val="3Char"/>
    <w:pPr>
      <w:keepNext/>
      <w:keepLines/>
      <w:spacing w:before="260" w:after="260" w:line="415" w:lineRule="auto"/>
      <w:outlineLvl w:val="2"/>
    </w:pPr>
    <w:rPr>
      <w:b/>
      <w:bCs/>
      <w:sz w:val="32"/>
      <w:szCs w:val="32"/>
    </w:rPr>
  </w:style>
  <w:style w:type="character" w:customStyle="1" w:styleId="3Char">
    <w:name w:val="heading 3 Char"/>
    <w:basedOn w:val="10"/>
    <w:link w:val="3"/>
    <w:rPr>
      <w:rFonts w:ascii="Calibri" w:eastAsia="宋体" w:cs="Arial" w:hAnsi="Calibri"/>
      <w:b/>
      <w:bCs/>
      <w:kern w:val="2"/>
      <w:sz w:val="32"/>
      <w:szCs w:val="32"/>
      <w:lang w:val="en-US" w:eastAsia="zh-CN" w:bidi="ar-SA"/>
    </w:rPr>
  </w:style>
  <w:style w:type="character" w:default="1" w:styleId="10">
    <w:name w:val="Default Paragraph Font"/>
    <w:qFormat/>
  </w:style>
  <w:style w:type="paragraph" w:styleId="15">
    <w:name w:val="header"/>
    <w:qFormat/>
    <w:basedOn w:val="0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paragraph" w:styleId="16">
    <w:name w:val="table of figures"/>
    <w:qFormat/>
    <w:basedOn w:val="0"/>
    <w:next w:val="0"/>
    <w:pPr>
      <w:ind w:leftChars="200" w:left="400" w:hangingChars="200" w:hanging="200"/>
    </w:pPr>
  </w:style>
  <w:style w:type="paragraph" w:styleId="17">
    <w:name w:val="Normal (Web)"/>
    <w:qFormat/>
    <w:basedOn w:val="0"/>
    <w:pPr>
      <w:spacing w:beforeAutospacing="1" w:afterAutospacing="1"/>
      <w:jc w:val="left"/>
    </w:pPr>
    <w:rPr>
      <w:rFonts w:cs="Times New Roman"/>
      <w:kern w:val="0"/>
      <w:sz w:val="24"/>
    </w:rPr>
  </w:style>
  <w:style w:type="paragraph" w:styleId="35">
    <w:name w:val="footer"/>
    <w:qFormat/>
    <w:basedOn w:val="0"/>
    <w:pPr>
      <w:tabs>
        <w:tab w:val="center" w:pos="4153"/>
        <w:tab w:val="right" w:pos="8307"/>
      </w:tabs>
      <w:snapToGrid w:val="0"/>
      <w:jc w:val="left"/>
    </w:pPr>
    <w:rPr>
      <w:sz w:val="18"/>
      <w:szCs w:val="18"/>
    </w:rPr>
  </w:style>
  <w:style w:type="character" w:styleId="43">
    <w:name w:val="page number"/>
    <w:qFormat/>
    <w:basedOn w:val="10"/>
  </w:style>
</w:styles>
</file>

<file path=word/_rels/document.xml.rels><?xml version="1.0" encoding="UTF-8" standalone="yes"?>
<Relationships xmlns="http://schemas.openxmlformats.org/package/2006/relationships"><Relationship Id="rId1" Type="http://schemas.openxmlformats.org/officeDocument/2006/relationships/settings" Target="settings.xml"/><Relationship Id="rId2" Type="http://schemas.openxmlformats.org/officeDocument/2006/relationships/header" Target="header1.xml"/><Relationship Id="rId3" Type="http://schemas.openxmlformats.org/officeDocument/2006/relationships/footer" Target="footer1.xml"/><Relationship Id="rId4" Type="http://schemas.openxmlformats.org/officeDocument/2006/relationships/styles" Target="styles.xml"/><Relationship Id="rId5" Type="http://schemas.openxmlformats.org/officeDocument/2006/relationships/numbering" Target="numbering.xml"/><Relationship Id="rId6" Type="http://schemas.openxmlformats.org/officeDocument/2006/relationships/fontTable" Target="fontTable.xml"/><Relationship Id="rId7" Type="http://schemas.openxmlformats.org/officeDocument/2006/relationships/customXml" Target="../customXml/item1.xml"/><Relationship Id="rId8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">
  <a:themeElements>
    <a:clrScheme name="Office">
      <a:dk1>
        <a:srgbClr val="000000"/>
      </a:dk1>
      <a:lt1>
        <a:srgbClr val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"/>
        <a:ea typeface=""/>
        <a:cs typeface=""/>
      </a:majorFont>
      <a:minorFont>
        <a:latin typeface="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1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1"/>
        </a:gradFill>
      </a:fillStyleLst>
      <a:lnStyleLst>
        <a:ln w="6350" cmpd="sng" cap="flat">
          <a:solidFill>
            <a:schemeClr val="phClr"/>
          </a:solidFill>
          <a:prstDash val="solid"/>
          <a:miter/>
        </a:ln>
        <a:ln w="12700" cmpd="sng" cap="flat">
          <a:solidFill>
            <a:schemeClr val="phClr"/>
          </a:solidFill>
          <a:prstDash val="solid"/>
          <a:miter/>
        </a:ln>
        <a:ln w="19050" cmpd="sng" cap="flat">
          <a:solidFill>
            <a:schemeClr val="phClr"/>
          </a:solidFill>
          <a:prstDash val="solid"/>
          <a:miter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sx="100000" sy="100000" algn="b" rotWithShape="0" blurRad="57150" dist="19050" dir="5400000">
              <a:srgbClr val="000000">
                <a:alpha val="62745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1"/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customData xmlns="http://www.yozosoft.com.cn/officeDocument/2016/customData">
  <customProps>
    <docPr revisions="3 0 5 0 0 0 1 0 0 0 26645 1 1 1 1 1"/>
    <sectPr/>
  </customProps>
</customData>
</file>

<file path=customXml/itemProps1.xml><?xml version="1.0" encoding="utf-8"?>
<ds:datastoreItem xmlns:ds="http://schemas.openxmlformats.org/officeDocument/2006/customXml" ds:itemID="{CD091FA7-5823-4E35-BD58-AAA7F83C4349}">
  <ds:schemaRefs>
    <ds:schemaRef ds:uri="http://www.yozosoft.com.cn/officeDocument/2016/customData"/>
  </ds:schemaRefs>
</ds:datastoreItem>
</file>

<file path=docProps/app.xml><?xml version="1.0" encoding="utf-8"?>
<Properties xmlns="http://schemas.openxmlformats.org/officeDocument/2006/extended-properties">
  <Template>Normal.eit</Template>
  <TotalTime>1502</TotalTime>
  <Application>Yozo_Office9.0.5727.102ZH.HE25</Application>
  <Pages>4</Pages>
  <Words>0</Words>
  <Characters>1428</Characters>
  <Lines>0</Lines>
  <Paragraphs>20</Paragraphs>
  <CharactersWithSpaces>1904</CharactersWithSpaces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xsi="http://www.w3.org/2001/XMLSchema-instance">
  <dc:creator>Administrator</dc:creator>
  <cp:lastModifiedBy>Administrator</cp:lastModifiedBy>
  <cp:revision>11</cp:revision>
  <cp:lastPrinted>2026-01-13T06:57:46Z</cp:lastPrinted>
  <dcterms:created xsi:type="dcterms:W3CDTF">2026-01-08T06:47:27Z</dcterms:created>
  <dcterms:modified xsi:type="dcterms:W3CDTF">2026-01-13T07:26:20Z</dcterms:modified>
</cp:coreProperties>
</file>