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17B05D">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342398C2">
      <w:pPr>
        <w:spacing w:line="560" w:lineRule="exact"/>
        <w:jc w:val="center"/>
        <w:rPr>
          <w:rFonts w:ascii="宋体" w:hAnsi="宋体" w:cs="宋体"/>
          <w:b/>
          <w:bCs/>
          <w:sz w:val="44"/>
          <w:szCs w:val="44"/>
        </w:rPr>
      </w:pPr>
    </w:p>
    <w:p w14:paraId="0D5B1592">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石家庄市生态环境局赵县分局</w:t>
      </w:r>
    </w:p>
    <w:p w14:paraId="5F118444">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08DD0CB1">
      <w:pPr>
        <w:spacing w:line="560" w:lineRule="exact"/>
        <w:jc w:val="center"/>
        <w:rPr>
          <w:rFonts w:ascii="华文楷体" w:eastAsia="华文楷体"/>
          <w:sz w:val="32"/>
          <w:szCs w:val="32"/>
        </w:rPr>
      </w:pPr>
    </w:p>
    <w:p w14:paraId="61FB9EE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贯彻落实县委、县政府《全面落实预算绩效管理的实施意见》（[2019]77）文件精神，遵循“科学性、规范性、客观性和公正性”的原则，对</w:t>
      </w:r>
      <w:r>
        <w:rPr>
          <w:rFonts w:hint="eastAsia" w:ascii="仿宋" w:hAnsi="仿宋" w:eastAsia="仿宋"/>
          <w:sz w:val="32"/>
          <w:szCs w:val="32"/>
          <w:lang w:eastAsia="zh-CN"/>
        </w:rPr>
        <w:t>石家庄市生态环境局赵县分局</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420C4BF9">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2C795E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6A564569">
      <w:pPr>
        <w:keepNext w:val="0"/>
        <w:keepLines w:val="0"/>
        <w:pageBreakBefore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b w:val="0"/>
          <w:bCs/>
          <w:sz w:val="32"/>
          <w:szCs w:val="32"/>
        </w:rPr>
      </w:pPr>
      <w:r>
        <w:rPr>
          <w:rFonts w:hint="eastAsia" w:ascii="仿宋" w:hAnsi="仿宋" w:eastAsia="仿宋" w:cs="仿宋"/>
          <w:b w:val="0"/>
          <w:bCs/>
          <w:color w:val="000000"/>
          <w:sz w:val="32"/>
          <w:szCs w:val="32"/>
          <w:lang w:val="en-US" w:eastAsia="zh-CN"/>
        </w:rPr>
        <w:t>1、</w:t>
      </w:r>
      <w:r>
        <w:rPr>
          <w:rFonts w:hint="eastAsia" w:ascii="仿宋" w:hAnsi="仿宋" w:eastAsia="仿宋" w:cs="仿宋"/>
          <w:b w:val="0"/>
          <w:bCs/>
          <w:color w:val="000000"/>
          <w:sz w:val="32"/>
          <w:szCs w:val="32"/>
        </w:rPr>
        <w:t>部门职责：</w:t>
      </w:r>
    </w:p>
    <w:p w14:paraId="0C717720">
      <w:pPr>
        <w:keepNext w:val="0"/>
        <w:keepLines w:val="0"/>
        <w:pageBreakBefore w:val="0"/>
        <w:kinsoku/>
        <w:wordWrap/>
        <w:overflowPunct/>
        <w:topLinePunct w:val="0"/>
        <w:autoSpaceDE/>
        <w:autoSpaceDN/>
        <w:bidi w:val="0"/>
        <w:spacing w:before="0" w:after="0" w:line="560" w:lineRule="exact"/>
        <w:ind w:firstLine="560"/>
        <w:jc w:val="left"/>
        <w:textAlignment w:val="auto"/>
        <w:outlineLvl w:val="9"/>
        <w:rPr>
          <w:rFonts w:hint="eastAsia" w:ascii="仿宋" w:hAnsi="仿宋" w:eastAsia="仿宋" w:cs="仿宋"/>
          <w:sz w:val="32"/>
          <w:szCs w:val="32"/>
        </w:rPr>
      </w:pPr>
      <w:r>
        <w:rPr>
          <w:rFonts w:hint="eastAsia" w:ascii="仿宋" w:hAnsi="仿宋" w:eastAsia="仿宋" w:cs="仿宋"/>
          <w:color w:val="000000"/>
          <w:sz w:val="32"/>
          <w:szCs w:val="32"/>
        </w:rPr>
        <w:t>贯彻执行国家环境保护方针、政策,依据《中华人民共和国环境保护法》、《中华人民共和国水污染防治法》、《中华人民共和国大气污染防治法》、《中华人民共和国环境噪声污染防治法》、</w:t>
      </w:r>
      <w:r>
        <w:rPr>
          <w:rFonts w:hint="eastAsia" w:ascii="仿宋" w:hAnsi="仿宋" w:eastAsia="仿宋" w:cs="仿宋"/>
          <w:color w:val="000000"/>
          <w:sz w:val="32"/>
          <w:szCs w:val="32"/>
          <w:lang w:eastAsia="zh-CN"/>
        </w:rPr>
        <w:t>《中华人民共和国固体废物污染环境防治法》</w:t>
      </w:r>
      <w:bookmarkStart w:id="0" w:name="_GoBack"/>
      <w:bookmarkEnd w:id="0"/>
      <w:r>
        <w:rPr>
          <w:rFonts w:hint="eastAsia" w:ascii="仿宋" w:hAnsi="仿宋" w:eastAsia="仿宋" w:cs="仿宋"/>
          <w:color w:val="000000"/>
          <w:sz w:val="32"/>
          <w:szCs w:val="32"/>
        </w:rPr>
        <w:t>、《中华人民共和国环境影响评价法》、《建设项目环境保护管理条例》等法律、法规,研究拟定我县环境保护的规范性文件,协同有关部门参与制定与环境保护相关的经济、技术、资源配置和产业政策。受县政府委托对重大经济和技术政策、发展规划以及重大经济开发计划进行环境影响评价,协助上级环保行政管理部门监督实施重点区域、重点流域污染防治规划和生态保护规划。负责全县环境监测、统计、信息工作；组织实施环境监测制度和规范，及时掌握全县环境质量状况及发展趋势,提出改善的措施和意见。贯彻执行国家、省环境质量标准和污染物排放标准，实施大气、水体、土壤、噪声、固体废物、有毒化学品以及机动车等的污染防治措施和办法，参与编制全县可持续发展纲要和规划。组织全区辐射、放射性废物管理工作；协助县大气办管理全县大气污染防治的所有事宜。承办县人大、县政协有关环境保护的议案、提案及环境信访污染纠纷、污染事故的查处。</w:t>
      </w:r>
    </w:p>
    <w:p w14:paraId="3246E849">
      <w:pPr>
        <w:keepNext w:val="0"/>
        <w:keepLines w:val="0"/>
        <w:pageBreakBefore w:val="0"/>
        <w:kinsoku/>
        <w:wordWrap/>
        <w:overflowPunct/>
        <w:topLinePunct w:val="0"/>
        <w:autoSpaceDE/>
        <w:autoSpaceDN/>
        <w:bidi w:val="0"/>
        <w:spacing w:before="0" w:after="0" w:line="560" w:lineRule="exact"/>
        <w:jc w:val="left"/>
        <w:textAlignment w:val="auto"/>
        <w:outlineLvl w:val="9"/>
        <w:rPr>
          <w:rFonts w:hint="eastAsia" w:ascii="仿宋" w:hAnsi="仿宋" w:eastAsia="仿宋" w:cs="仿宋"/>
          <w:b w:val="0"/>
          <w:bCs/>
          <w:sz w:val="32"/>
          <w:szCs w:val="32"/>
        </w:rPr>
      </w:pPr>
      <w:r>
        <w:rPr>
          <w:rFonts w:hint="eastAsia" w:ascii="仿宋" w:hAnsi="仿宋" w:eastAsia="仿宋" w:cs="仿宋"/>
          <w:b w:val="0"/>
          <w:bCs/>
          <w:color w:val="000000"/>
          <w:sz w:val="32"/>
          <w:szCs w:val="32"/>
          <w:lang w:val="en-US" w:eastAsia="zh-CN"/>
        </w:rPr>
        <w:t>2、</w:t>
      </w:r>
      <w:r>
        <w:rPr>
          <w:rFonts w:hint="eastAsia" w:ascii="仿宋" w:hAnsi="仿宋" w:eastAsia="仿宋" w:cs="仿宋"/>
          <w:b w:val="0"/>
          <w:bCs/>
          <w:color w:val="000000"/>
          <w:sz w:val="32"/>
          <w:szCs w:val="32"/>
        </w:rPr>
        <w:t>机构设置：</w:t>
      </w:r>
    </w:p>
    <w:p w14:paraId="52BEDC93">
      <w:pPr>
        <w:keepNext w:val="0"/>
        <w:keepLines w:val="0"/>
        <w:pageBreakBefore w:val="0"/>
        <w:kinsoku/>
        <w:wordWrap/>
        <w:overflowPunct/>
        <w:topLinePunct w:val="0"/>
        <w:autoSpaceDE/>
        <w:autoSpaceDN/>
        <w:bidi w:val="0"/>
        <w:spacing w:before="0" w:after="0" w:line="560" w:lineRule="exact"/>
        <w:ind w:firstLine="0"/>
        <w:jc w:val="center"/>
        <w:textAlignment w:val="auto"/>
        <w:outlineLvl w:val="9"/>
        <w:rPr>
          <w:rFonts w:hint="eastAsia" w:ascii="仿宋" w:hAnsi="仿宋" w:eastAsia="仿宋" w:cs="仿宋"/>
          <w:b w:val="0"/>
          <w:bCs/>
          <w:sz w:val="32"/>
          <w:szCs w:val="32"/>
        </w:rPr>
      </w:pPr>
      <w:r>
        <w:rPr>
          <w:rFonts w:hint="eastAsia" w:ascii="仿宋" w:hAnsi="仿宋" w:eastAsia="仿宋" w:cs="仿宋"/>
          <w:b w:val="0"/>
          <w:bCs/>
          <w:color w:val="000000"/>
          <w:sz w:val="32"/>
          <w:szCs w:val="32"/>
        </w:rPr>
        <w:t>部门机构设置情况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B47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ABE4BB">
            <w:pPr>
              <w:pStyle w:val="12"/>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b w:val="0"/>
                <w:bCs/>
                <w:sz w:val="32"/>
                <w:szCs w:val="32"/>
              </w:rPr>
            </w:pPr>
            <w:r>
              <w:rPr>
                <w:rFonts w:hint="eastAsia" w:ascii="仿宋" w:hAnsi="仿宋" w:eastAsia="仿宋" w:cs="仿宋"/>
                <w:b w:val="0"/>
                <w:bCs/>
                <w:sz w:val="32"/>
                <w:szCs w:val="32"/>
              </w:rPr>
              <w:t>单位名称</w:t>
            </w:r>
          </w:p>
        </w:tc>
        <w:tc>
          <w:tcPr>
            <w:tcW w:w="1843" w:type="dxa"/>
            <w:vAlign w:val="center"/>
          </w:tcPr>
          <w:p w14:paraId="17F9049D">
            <w:pPr>
              <w:pStyle w:val="12"/>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b w:val="0"/>
                <w:bCs/>
                <w:sz w:val="32"/>
                <w:szCs w:val="32"/>
              </w:rPr>
            </w:pPr>
            <w:r>
              <w:rPr>
                <w:rFonts w:hint="eastAsia" w:ascii="仿宋" w:hAnsi="仿宋" w:eastAsia="仿宋" w:cs="仿宋"/>
                <w:b w:val="0"/>
                <w:bCs/>
                <w:sz w:val="32"/>
                <w:szCs w:val="32"/>
              </w:rPr>
              <w:t>单位性质</w:t>
            </w:r>
          </w:p>
        </w:tc>
        <w:tc>
          <w:tcPr>
            <w:tcW w:w="2126" w:type="dxa"/>
            <w:vAlign w:val="center"/>
          </w:tcPr>
          <w:p w14:paraId="0E51588F">
            <w:pPr>
              <w:pStyle w:val="12"/>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b w:val="0"/>
                <w:bCs/>
                <w:sz w:val="32"/>
                <w:szCs w:val="32"/>
              </w:rPr>
            </w:pPr>
            <w:r>
              <w:rPr>
                <w:rFonts w:hint="eastAsia" w:ascii="仿宋" w:hAnsi="仿宋" w:eastAsia="仿宋" w:cs="仿宋"/>
                <w:b w:val="0"/>
                <w:bCs/>
                <w:sz w:val="32"/>
                <w:szCs w:val="32"/>
              </w:rPr>
              <w:t>单位规格</w:t>
            </w:r>
          </w:p>
        </w:tc>
        <w:tc>
          <w:tcPr>
            <w:tcW w:w="3827" w:type="dxa"/>
            <w:vAlign w:val="center"/>
          </w:tcPr>
          <w:p w14:paraId="55413BA8">
            <w:pPr>
              <w:pStyle w:val="12"/>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b w:val="0"/>
                <w:bCs/>
                <w:sz w:val="32"/>
                <w:szCs w:val="32"/>
              </w:rPr>
            </w:pPr>
            <w:r>
              <w:rPr>
                <w:rFonts w:hint="eastAsia" w:ascii="仿宋" w:hAnsi="仿宋" w:eastAsia="仿宋" w:cs="仿宋"/>
                <w:b w:val="0"/>
                <w:bCs/>
                <w:sz w:val="32"/>
                <w:szCs w:val="32"/>
              </w:rPr>
              <w:t>经费保障形式</w:t>
            </w:r>
          </w:p>
        </w:tc>
      </w:tr>
      <w:tr w14:paraId="6E23C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0A5376">
            <w:pPr>
              <w:pStyle w:val="13"/>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b w:val="0"/>
                <w:bCs/>
                <w:sz w:val="32"/>
                <w:szCs w:val="32"/>
              </w:rPr>
            </w:pPr>
            <w:r>
              <w:rPr>
                <w:rFonts w:hint="eastAsia" w:ascii="仿宋" w:hAnsi="仿宋" w:eastAsia="仿宋" w:cs="仿宋"/>
                <w:b w:val="0"/>
                <w:bCs/>
                <w:sz w:val="32"/>
                <w:szCs w:val="32"/>
              </w:rPr>
              <w:t>石家庄市生态环境局赵县分局本级</w:t>
            </w:r>
          </w:p>
        </w:tc>
        <w:tc>
          <w:tcPr>
            <w:tcW w:w="1843" w:type="dxa"/>
            <w:vAlign w:val="center"/>
          </w:tcPr>
          <w:p w14:paraId="0953D45D">
            <w:pPr>
              <w:pStyle w:val="14"/>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b w:val="0"/>
                <w:bCs/>
                <w:sz w:val="32"/>
                <w:szCs w:val="32"/>
              </w:rPr>
            </w:pPr>
            <w:r>
              <w:rPr>
                <w:rFonts w:hint="eastAsia" w:ascii="仿宋" w:hAnsi="仿宋" w:eastAsia="仿宋" w:cs="仿宋"/>
                <w:b w:val="0"/>
                <w:bCs/>
                <w:sz w:val="32"/>
                <w:szCs w:val="32"/>
              </w:rPr>
              <w:t>行政</w:t>
            </w:r>
          </w:p>
        </w:tc>
        <w:tc>
          <w:tcPr>
            <w:tcW w:w="2126" w:type="dxa"/>
            <w:vAlign w:val="center"/>
          </w:tcPr>
          <w:p w14:paraId="1AA17019">
            <w:pPr>
              <w:pStyle w:val="14"/>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b w:val="0"/>
                <w:bCs/>
                <w:sz w:val="32"/>
                <w:szCs w:val="32"/>
              </w:rPr>
            </w:pPr>
            <w:r>
              <w:rPr>
                <w:rFonts w:hint="eastAsia" w:ascii="仿宋" w:hAnsi="仿宋" w:eastAsia="仿宋" w:cs="仿宋"/>
                <w:b w:val="0"/>
                <w:bCs/>
                <w:sz w:val="32"/>
                <w:szCs w:val="32"/>
              </w:rPr>
              <w:t>正科级</w:t>
            </w:r>
          </w:p>
        </w:tc>
        <w:tc>
          <w:tcPr>
            <w:tcW w:w="3827" w:type="dxa"/>
            <w:vAlign w:val="center"/>
          </w:tcPr>
          <w:p w14:paraId="7BD62E73">
            <w:pPr>
              <w:pStyle w:val="14"/>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b w:val="0"/>
                <w:bCs/>
                <w:sz w:val="32"/>
                <w:szCs w:val="32"/>
              </w:rPr>
            </w:pPr>
            <w:r>
              <w:rPr>
                <w:rFonts w:hint="eastAsia" w:ascii="仿宋" w:hAnsi="仿宋" w:eastAsia="仿宋" w:cs="仿宋"/>
                <w:b w:val="0"/>
                <w:bCs/>
                <w:sz w:val="32"/>
                <w:szCs w:val="32"/>
              </w:rPr>
              <w:t>财政拨款</w:t>
            </w:r>
          </w:p>
        </w:tc>
      </w:tr>
    </w:tbl>
    <w:p w14:paraId="257D410A">
      <w:pPr>
        <w:keepNext w:val="0"/>
        <w:keepLines w:val="0"/>
        <w:pageBreakBefore w:val="0"/>
        <w:kinsoku/>
        <w:wordWrap/>
        <w:overflowPunct/>
        <w:topLinePunct w:val="0"/>
        <w:autoSpaceDE/>
        <w:autoSpaceDN/>
        <w:bidi w:val="0"/>
        <w:spacing w:line="560" w:lineRule="exact"/>
        <w:textAlignment w:val="auto"/>
        <w:outlineLvl w:val="1"/>
        <w:rPr>
          <w:rFonts w:hint="eastAsia" w:ascii="仿宋" w:hAnsi="仿宋" w:eastAsia="仿宋" w:cs="仿宋"/>
          <w:b w:val="0"/>
          <w:bCs/>
          <w:sz w:val="32"/>
          <w:szCs w:val="32"/>
          <w:lang w:val="en-US" w:eastAsia="zh-CN"/>
        </w:rPr>
      </w:pPr>
      <w:r>
        <w:rPr>
          <w:rFonts w:hint="eastAsia" w:ascii="仿宋" w:hAnsi="仿宋" w:eastAsia="仿宋" w:cs="仿宋"/>
          <w:b w:val="0"/>
          <w:bCs/>
          <w:sz w:val="32"/>
          <w:szCs w:val="32"/>
          <w:lang w:val="en-US" w:eastAsia="zh-CN"/>
        </w:rPr>
        <w:t>3、人员、资产情况</w:t>
      </w:r>
    </w:p>
    <w:p w14:paraId="32DAC61C">
      <w:pPr>
        <w:keepNext w:val="0"/>
        <w:keepLines w:val="0"/>
        <w:pageBreakBefore w:val="0"/>
        <w:kinsoku/>
        <w:wordWrap/>
        <w:overflowPunct/>
        <w:topLinePunct w:val="0"/>
        <w:autoSpaceDE/>
        <w:autoSpaceDN/>
        <w:bidi w:val="0"/>
        <w:spacing w:line="560" w:lineRule="exact"/>
        <w:ind w:firstLine="640" w:firstLineChars="200"/>
        <w:textAlignment w:val="auto"/>
        <w:outlineLvl w:val="1"/>
        <w:rPr>
          <w:rFonts w:hint="eastAsia" w:ascii="仿宋" w:hAnsi="仿宋" w:eastAsia="仿宋" w:cs="仿宋"/>
          <w:sz w:val="32"/>
          <w:szCs w:val="32"/>
        </w:rPr>
      </w:pPr>
      <w:r>
        <w:rPr>
          <w:rFonts w:hint="eastAsia" w:ascii="仿宋_GB2312" w:hAnsi="仿宋_GB2312" w:eastAsia="仿宋_GB2312" w:cs="仿宋_GB2312"/>
          <w:sz w:val="32"/>
          <w:szCs w:val="32"/>
        </w:rPr>
        <w:t>截止202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31</w:t>
      </w:r>
      <w:r>
        <w:rPr>
          <w:rFonts w:hint="eastAsia" w:ascii="仿宋_GB2312" w:hAnsi="仿宋_GB2312" w:eastAsia="仿宋_GB2312" w:cs="仿宋_GB2312"/>
          <w:sz w:val="32"/>
          <w:szCs w:val="32"/>
        </w:rPr>
        <w:t>日，编制</w:t>
      </w:r>
      <w:r>
        <w:rPr>
          <w:rFonts w:hint="eastAsia" w:ascii="仿宋_GB2312" w:hAnsi="仿宋_GB2312" w:eastAsia="仿宋_GB2312" w:cs="仿宋_GB2312"/>
          <w:sz w:val="32"/>
          <w:szCs w:val="32"/>
          <w:lang w:val="en-US" w:eastAsia="zh-CN"/>
        </w:rPr>
        <w:t>37</w:t>
      </w:r>
      <w:r>
        <w:rPr>
          <w:rFonts w:hint="eastAsia" w:ascii="仿宋_GB2312" w:hAnsi="仿宋_GB2312" w:eastAsia="仿宋_GB2312" w:cs="仿宋_GB2312"/>
          <w:sz w:val="32"/>
          <w:szCs w:val="32"/>
        </w:rPr>
        <w:t>人，其中：行政编制</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人、事业编制</w:t>
      </w:r>
      <w:r>
        <w:rPr>
          <w:rFonts w:hint="eastAsia" w:ascii="仿宋_GB2312" w:hAnsi="仿宋_GB2312" w:eastAsia="仿宋_GB2312" w:cs="仿宋_GB2312"/>
          <w:sz w:val="32"/>
          <w:szCs w:val="32"/>
          <w:lang w:val="en-US" w:eastAsia="zh-CN"/>
        </w:rPr>
        <w:t>29</w:t>
      </w:r>
      <w:r>
        <w:rPr>
          <w:rFonts w:hint="eastAsia" w:ascii="仿宋_GB2312" w:hAnsi="仿宋_GB2312" w:eastAsia="仿宋_GB2312" w:cs="仿宋_GB2312"/>
          <w:sz w:val="32"/>
          <w:szCs w:val="32"/>
        </w:rPr>
        <w:t>人。实有在职</w:t>
      </w:r>
      <w:r>
        <w:rPr>
          <w:rFonts w:hint="eastAsia" w:ascii="仿宋_GB2312" w:hAnsi="仿宋_GB2312" w:eastAsia="仿宋_GB2312" w:cs="仿宋_GB2312"/>
          <w:sz w:val="32"/>
          <w:szCs w:val="32"/>
          <w:highlight w:val="none"/>
          <w:lang w:val="en-US" w:eastAsia="zh-CN"/>
        </w:rPr>
        <w:t>118</w:t>
      </w:r>
      <w:r>
        <w:rPr>
          <w:rFonts w:hint="eastAsia" w:ascii="仿宋_GB2312" w:hAnsi="仿宋_GB2312" w:eastAsia="仿宋_GB2312" w:cs="仿宋_GB2312"/>
          <w:sz w:val="32"/>
          <w:szCs w:val="32"/>
          <w:highlight w:val="none"/>
        </w:rPr>
        <w:t>人（行政在职</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人、事业在职</w:t>
      </w:r>
      <w:r>
        <w:rPr>
          <w:rFonts w:hint="eastAsia" w:ascii="仿宋_GB2312" w:hAnsi="仿宋_GB2312" w:eastAsia="仿宋_GB2312" w:cs="仿宋_GB2312"/>
          <w:sz w:val="32"/>
          <w:szCs w:val="32"/>
          <w:highlight w:val="none"/>
          <w:lang w:val="en-US" w:eastAsia="zh-CN"/>
        </w:rPr>
        <w:t>80</w:t>
      </w:r>
      <w:r>
        <w:rPr>
          <w:rFonts w:hint="eastAsia" w:ascii="仿宋_GB2312" w:hAnsi="仿宋_GB2312" w:eastAsia="仿宋_GB2312" w:cs="仿宋_GB2312"/>
          <w:sz w:val="32"/>
          <w:szCs w:val="32"/>
          <w:highlight w:val="none"/>
        </w:rPr>
        <w:t>人</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退休</w:t>
      </w:r>
      <w:r>
        <w:rPr>
          <w:rFonts w:hint="eastAsia" w:ascii="仿宋_GB2312" w:hAnsi="仿宋_GB2312" w:eastAsia="仿宋_GB2312" w:cs="仿宋_GB2312"/>
          <w:sz w:val="32"/>
          <w:szCs w:val="32"/>
          <w:highlight w:val="none"/>
          <w:lang w:val="en-US" w:eastAsia="zh-CN"/>
        </w:rPr>
        <w:t>33</w:t>
      </w:r>
      <w:r>
        <w:rPr>
          <w:rFonts w:hint="eastAsia" w:ascii="仿宋_GB2312" w:hAnsi="仿宋_GB2312" w:eastAsia="仿宋_GB2312" w:cs="仿宋_GB2312"/>
          <w:sz w:val="32"/>
          <w:szCs w:val="32"/>
          <w:highlight w:val="none"/>
        </w:rPr>
        <w:t>人。</w:t>
      </w:r>
    </w:p>
    <w:p w14:paraId="4438F5B2">
      <w:pPr>
        <w:keepNext w:val="0"/>
        <w:keepLines w:val="0"/>
        <w:pageBreakBefore w:val="0"/>
        <w:kinsoku/>
        <w:wordWrap/>
        <w:overflowPunct/>
        <w:topLinePunct w:val="0"/>
        <w:autoSpaceDE/>
        <w:autoSpaceDN/>
        <w:bidi w:val="0"/>
        <w:spacing w:line="560" w:lineRule="exact"/>
        <w:ind w:firstLine="470" w:firstLineChars="147"/>
        <w:textAlignment w:val="auto"/>
        <w:rPr>
          <w:rFonts w:hint="eastAsia" w:ascii="仿宋" w:hAnsi="仿宋" w:eastAsia="仿宋" w:cs="仿宋"/>
          <w:color w:val="auto"/>
          <w:sz w:val="32"/>
          <w:szCs w:val="32"/>
          <w:shd w:val="clear" w:color="auto" w:fill="auto"/>
          <w:lang w:eastAsia="zh-CN"/>
        </w:rPr>
      </w:pPr>
      <w:r>
        <w:rPr>
          <w:rFonts w:hint="eastAsia" w:ascii="仿宋" w:hAnsi="仿宋" w:eastAsia="仿宋" w:cs="仿宋"/>
          <w:color w:val="auto"/>
          <w:sz w:val="32"/>
          <w:szCs w:val="32"/>
          <w:shd w:val="clear" w:color="auto" w:fill="auto"/>
        </w:rPr>
        <w:t>2023年</w:t>
      </w:r>
      <w:r>
        <w:rPr>
          <w:rFonts w:hint="eastAsia" w:ascii="仿宋" w:hAnsi="仿宋" w:eastAsia="仿宋" w:cs="仿宋"/>
          <w:color w:val="auto"/>
          <w:sz w:val="32"/>
          <w:szCs w:val="32"/>
          <w:shd w:val="clear" w:color="auto" w:fill="auto"/>
          <w:lang w:val="en-US" w:eastAsia="zh-CN"/>
        </w:rPr>
        <w:t>5</w:t>
      </w:r>
      <w:r>
        <w:rPr>
          <w:rFonts w:hint="eastAsia" w:ascii="仿宋" w:hAnsi="仿宋" w:eastAsia="仿宋" w:cs="仿宋"/>
          <w:color w:val="auto"/>
          <w:sz w:val="32"/>
          <w:szCs w:val="32"/>
          <w:shd w:val="clear" w:color="auto" w:fill="auto"/>
        </w:rPr>
        <w:t>月</w:t>
      </w:r>
      <w:r>
        <w:rPr>
          <w:rFonts w:hint="eastAsia" w:ascii="仿宋" w:hAnsi="仿宋" w:eastAsia="仿宋" w:cs="仿宋"/>
          <w:color w:val="auto"/>
          <w:sz w:val="32"/>
          <w:szCs w:val="32"/>
          <w:shd w:val="clear" w:color="auto" w:fill="auto"/>
          <w:lang w:eastAsia="zh-CN"/>
        </w:rPr>
        <w:t>我局固定资产上划至石家庄市生态环境局。</w:t>
      </w:r>
    </w:p>
    <w:p w14:paraId="2D7BCA1F">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2DB44269">
      <w:pPr>
        <w:pStyle w:val="8"/>
        <w:keepNext w:val="0"/>
        <w:keepLines w:val="0"/>
        <w:pageBreakBefore w:val="0"/>
        <w:numPr>
          <w:ilvl w:val="0"/>
          <w:numId w:val="0"/>
        </w:numPr>
        <w:kinsoku/>
        <w:wordWrap/>
        <w:overflowPunct/>
        <w:topLinePunct w:val="0"/>
        <w:autoSpaceDE/>
        <w:autoSpaceDN/>
        <w:bidi w:val="0"/>
        <w:spacing w:line="560" w:lineRule="exact"/>
        <w:textAlignment w:val="auto"/>
        <w:rPr>
          <w:rFonts w:hint="default" w:eastAsia="等线"/>
          <w:lang w:val="en-US" w:eastAsia="zh-CN"/>
        </w:rPr>
      </w:pPr>
      <w:r>
        <w:rPr>
          <w:rFonts w:hint="eastAsia"/>
          <w:lang w:val="en-US" w:eastAsia="zh-CN"/>
        </w:rPr>
        <w:t xml:space="preserve"> </w:t>
      </w:r>
      <w:r>
        <w:rPr>
          <w:rFonts w:hint="eastAsia"/>
          <w:color w:val="auto"/>
          <w:lang w:val="en-US" w:eastAsia="zh-CN"/>
        </w:rPr>
        <w:t xml:space="preserve">   </w:t>
      </w:r>
      <w:r>
        <w:rPr>
          <w:rFonts w:hint="eastAsia" w:ascii="仿宋" w:hAnsi="仿宋" w:eastAsia="仿宋" w:cs="仿宋"/>
          <w:color w:val="auto"/>
          <w:sz w:val="32"/>
          <w:szCs w:val="32"/>
          <w:lang w:val="en-US" w:eastAsia="zh-CN"/>
        </w:rPr>
        <w:t>2025年我部门年初预算数1443.5万元，年末收入决算数3244.559万元，支出决算数3244.559万元。</w:t>
      </w:r>
    </w:p>
    <w:p w14:paraId="4BC7BE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103223A6">
      <w:pPr>
        <w:adjustRightInd w:val="0"/>
        <w:snapToGrid w:val="0"/>
        <w:spacing w:line="560" w:lineRule="exact"/>
        <w:ind w:firstLine="640" w:firstLineChars="200"/>
        <w:rPr>
          <w:rFonts w:hint="eastAsia" w:ascii="仿宋" w:hAnsi="仿宋" w:eastAsia="仿宋"/>
          <w:color w:val="auto"/>
          <w:sz w:val="32"/>
          <w:szCs w:val="32"/>
          <w:shd w:val="clear" w:color="auto" w:fill="auto"/>
        </w:rPr>
      </w:pPr>
      <w:r>
        <w:rPr>
          <w:rFonts w:hint="eastAsia" w:ascii="仿宋" w:hAnsi="仿宋" w:eastAsia="仿宋"/>
          <w:color w:val="auto"/>
          <w:sz w:val="32"/>
          <w:szCs w:val="32"/>
          <w:shd w:val="clear" w:color="auto" w:fill="auto"/>
        </w:rPr>
        <w:t>1</w:t>
      </w:r>
      <w:r>
        <w:rPr>
          <w:rFonts w:hint="eastAsia" w:ascii="仿宋" w:hAnsi="仿宋" w:eastAsia="仿宋"/>
          <w:color w:val="auto"/>
          <w:sz w:val="32"/>
          <w:szCs w:val="32"/>
          <w:shd w:val="clear" w:color="auto" w:fill="auto"/>
          <w:lang w:eastAsia="zh-CN"/>
        </w:rPr>
        <w:t>、</w:t>
      </w:r>
      <w:r>
        <w:rPr>
          <w:rFonts w:hint="eastAsia" w:ascii="仿宋" w:hAnsi="仿宋" w:eastAsia="仿宋"/>
          <w:color w:val="auto"/>
          <w:sz w:val="32"/>
          <w:szCs w:val="32"/>
          <w:shd w:val="clear" w:color="auto" w:fill="auto"/>
        </w:rPr>
        <w:t>攻坚大气污染防治。全面加强工业废气治理，对385家企业实施了分表计电监管，完成了134家涉VOCs企业活性炭更换和碘值检测，16家企业泄露检测与修复，5家企业原辅材料替代，1家原辅材料标杆企业创建，3家低效治理设施升级改造工作。严格6家重点企业落实总量和浓度"双控"要求。预警期间，列入减排清单的391家企业严格按照预警管控要求落实减排措施；6家重点涉气企业强化驻厂值守和在线管控。深入开展涉VOCs行业整治提升，挥发性有机物替代，泄漏检测与修复整治，低效设施淘汰，活性炭管理等专项行动。联合交警，交通部门开展机动车路检路查，全年共检查车辆53114辆，发现问题161个，均已整改到位。充分发挥露天禁烧红外视频监控系统作用，实行专人24小时值班值守，确保火情第一时间处置。今年以来，省厅共认定我县火情70起。</w:t>
      </w:r>
    </w:p>
    <w:p w14:paraId="54126C2D">
      <w:pPr>
        <w:adjustRightInd w:val="0"/>
        <w:snapToGrid w:val="0"/>
        <w:spacing w:line="560" w:lineRule="exact"/>
        <w:ind w:firstLine="640" w:firstLineChars="200"/>
        <w:rPr>
          <w:rFonts w:hint="eastAsia" w:ascii="仿宋" w:hAnsi="仿宋" w:eastAsia="仿宋"/>
          <w:color w:val="auto"/>
          <w:sz w:val="32"/>
          <w:szCs w:val="32"/>
          <w:shd w:val="clear" w:color="auto" w:fill="auto"/>
          <w:lang w:val="en-US" w:eastAsia="zh-CN"/>
        </w:rPr>
      </w:pPr>
      <w:r>
        <w:rPr>
          <w:rFonts w:hint="eastAsia" w:ascii="仿宋" w:hAnsi="仿宋" w:eastAsia="仿宋"/>
          <w:color w:val="auto"/>
          <w:sz w:val="32"/>
          <w:szCs w:val="32"/>
          <w:shd w:val="clear" w:color="auto" w:fill="auto"/>
        </w:rPr>
        <w:t>2</w:t>
      </w:r>
      <w:r>
        <w:rPr>
          <w:rFonts w:hint="eastAsia" w:ascii="仿宋" w:hAnsi="仿宋" w:eastAsia="仿宋"/>
          <w:color w:val="auto"/>
          <w:sz w:val="32"/>
          <w:szCs w:val="32"/>
          <w:shd w:val="clear" w:color="auto" w:fill="auto"/>
          <w:lang w:eastAsia="zh-CN"/>
        </w:rPr>
        <w:t>、</w:t>
      </w:r>
      <w:r>
        <w:rPr>
          <w:rFonts w:hint="eastAsia" w:ascii="仿宋" w:hAnsi="仿宋" w:eastAsia="仿宋"/>
          <w:color w:val="auto"/>
          <w:sz w:val="32"/>
          <w:szCs w:val="32"/>
          <w:shd w:val="clear" w:color="auto" w:fill="auto"/>
        </w:rPr>
        <w:t>统筹水</w:t>
      </w:r>
      <w:r>
        <w:rPr>
          <w:rFonts w:hint="eastAsia" w:ascii="仿宋" w:hAnsi="仿宋" w:eastAsia="仿宋"/>
          <w:color w:val="auto"/>
          <w:sz w:val="32"/>
          <w:szCs w:val="32"/>
          <w:shd w:val="clear" w:color="auto" w:fill="auto"/>
          <w:lang w:eastAsia="zh-CN"/>
        </w:rPr>
        <w:t>、</w:t>
      </w:r>
      <w:r>
        <w:rPr>
          <w:rFonts w:hint="eastAsia" w:ascii="仿宋" w:hAnsi="仿宋" w:eastAsia="仿宋"/>
          <w:color w:val="auto"/>
          <w:sz w:val="32"/>
          <w:szCs w:val="32"/>
          <w:shd w:val="clear" w:color="auto" w:fill="auto"/>
        </w:rPr>
        <w:t>土污染防治。一是做好涉水企业管控。加大全县44家在产涉水企业，3家污水厂和洨河，汪洋沟进出境断面水质检查监测频次，确保治理设施稳定运行，排水水质达标排放。</w:t>
      </w:r>
      <w:r>
        <w:rPr>
          <w:rFonts w:hint="eastAsia" w:ascii="仿宋" w:hAnsi="仿宋" w:eastAsia="仿宋"/>
          <w:color w:val="auto"/>
          <w:sz w:val="32"/>
          <w:szCs w:val="32"/>
          <w:shd w:val="clear" w:color="auto" w:fill="auto"/>
          <w:lang w:eastAsia="zh-CN"/>
        </w:rPr>
        <w:t>二是推进湿地工程建设。汪洋沟湿地工程已完成主体工程建设，正在进行试运行，正式投运后将进一步改善我县流域水质。三是积极开展农村污染防治。完成市下达的55个村庄生活污水治理任务，累计完成了176个村庄的治理任务。开展了7次农村黑臭水体排查整治，共排查坑塘523个，消除整治隐患72处。</w:t>
      </w:r>
    </w:p>
    <w:p w14:paraId="78EC395E">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411BFF65">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724C991A">
      <w:pPr>
        <w:keepNext w:val="0"/>
        <w:keepLines w:val="0"/>
        <w:pageBreakBefore w:val="0"/>
        <w:widowControl/>
        <w:kinsoku/>
        <w:wordWrap/>
        <w:overflowPunct/>
        <w:topLinePunct w:val="0"/>
        <w:autoSpaceDE/>
        <w:autoSpaceDN/>
        <w:bidi w:val="0"/>
        <w:adjustRightInd/>
        <w:snapToGrid/>
        <w:spacing w:after="200" w:line="560" w:lineRule="exact"/>
        <w:ind w:right="0" w:rightChars="0" w:firstLine="640" w:firstLineChars="200"/>
        <w:textAlignment w:val="auto"/>
        <w:outlineLvl w:val="9"/>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仿宋"/>
          <w:sz w:val="32"/>
          <w:szCs w:val="32"/>
          <w:lang w:eastAsia="zh-CN"/>
        </w:rPr>
        <w:t>我单位高度重视绩效自评工作，</w:t>
      </w:r>
      <w:r>
        <w:rPr>
          <w:rFonts w:hint="eastAsia" w:ascii="仿宋" w:hAnsi="仿宋" w:eastAsia="仿宋" w:cs="仿宋"/>
          <w:sz w:val="32"/>
          <w:szCs w:val="32"/>
        </w:rPr>
        <w:t>为保证绩效评价工作顺利开展，我单位成立了绩效评价工作小组</w:t>
      </w:r>
      <w:r>
        <w:rPr>
          <w:rFonts w:hint="eastAsia" w:ascii="仿宋" w:hAnsi="仿宋" w:eastAsia="仿宋" w:cs="仿宋"/>
          <w:sz w:val="32"/>
          <w:szCs w:val="32"/>
          <w:lang w:eastAsia="zh-CN"/>
        </w:rPr>
        <w:t>。郭志峰</w:t>
      </w:r>
      <w:r>
        <w:rPr>
          <w:rFonts w:hint="eastAsia" w:ascii="仿宋" w:hAnsi="仿宋" w:eastAsia="仿宋" w:cs="仿宋"/>
          <w:sz w:val="32"/>
          <w:szCs w:val="32"/>
        </w:rPr>
        <w:t>为组长，</w:t>
      </w:r>
      <w:r>
        <w:rPr>
          <w:rFonts w:hint="eastAsia" w:ascii="仿宋" w:hAnsi="仿宋" w:eastAsia="仿宋" w:cs="仿宋"/>
          <w:sz w:val="32"/>
          <w:szCs w:val="32"/>
          <w:lang w:eastAsia="zh-CN"/>
        </w:rPr>
        <w:t>靳凤航</w:t>
      </w:r>
      <w:r>
        <w:rPr>
          <w:rFonts w:hint="eastAsia" w:ascii="仿宋" w:hAnsi="仿宋" w:eastAsia="仿宋" w:cs="仿宋"/>
          <w:sz w:val="32"/>
          <w:szCs w:val="32"/>
        </w:rPr>
        <w:t>为副组长，各科室负责人为成员，负责绩效评价的组织管理和实施工作。</w:t>
      </w:r>
    </w:p>
    <w:p w14:paraId="39E56E9B">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FA617A5">
      <w:pPr>
        <w:keepNext w:val="0"/>
        <w:keepLines w:val="0"/>
        <w:pageBreakBefore w:val="0"/>
        <w:widowControl/>
        <w:kinsoku/>
        <w:wordWrap/>
        <w:overflowPunct/>
        <w:topLinePunct w:val="0"/>
        <w:autoSpaceDE/>
        <w:autoSpaceDN/>
        <w:bidi w:val="0"/>
        <w:adjustRightInd/>
        <w:snapToGrid/>
        <w:spacing w:after="200" w:line="560" w:lineRule="exact"/>
        <w:ind w:left="0" w:leftChars="0" w:right="0" w:rightChars="0" w:firstLine="640" w:firstLineChars="200"/>
        <w:textAlignment w:val="auto"/>
        <w:outlineLvl w:val="9"/>
      </w:pPr>
      <w:r>
        <w:rPr>
          <w:rFonts w:hint="eastAsia" w:ascii="仿宋" w:hAnsi="仿宋" w:eastAsia="仿宋" w:cs="仿宋"/>
          <w:sz w:val="32"/>
          <w:szCs w:val="32"/>
        </w:rPr>
        <w:t>自评工作组对照工作方案坚持以资金使用效果为导向，逐个对项目进行考核评价。按照绩效评价工作要求，明确绩效评价的内容和范围，在资料收集、信息核实、现场调研、访谈沟通等工作的基础上，对我单位各预算项目单独进行打分自评。小组成员在对放集的数据、资料进行核实、比较、计算的基础上，对比年度绩效目标，形成评价结论，根据评价结论撰写评价报告。</w:t>
      </w:r>
    </w:p>
    <w:p w14:paraId="5643F819">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C0648E1">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2ABA91B">
      <w:pPr>
        <w:keepNext w:val="0"/>
        <w:keepLines w:val="0"/>
        <w:pageBreakBefore w:val="0"/>
        <w:widowControl/>
        <w:kinsoku/>
        <w:wordWrap/>
        <w:overflowPunct/>
        <w:topLinePunct w:val="0"/>
        <w:autoSpaceDE/>
        <w:autoSpaceDN/>
        <w:bidi w:val="0"/>
        <w:adjustRightInd/>
        <w:snapToGrid/>
        <w:spacing w:after="200" w:line="560" w:lineRule="exact"/>
        <w:ind w:left="0" w:leftChars="0" w:right="0" w:rightChars="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通过比对年初设立的绩效目标与年终执行情况，发现我局总体绩效目标设定合理，能够清晰准确体现工作完成度，能够科学合理安排预算执行进度，绩效标准恰当适用。</w:t>
      </w:r>
      <w:r>
        <w:rPr>
          <w:rFonts w:hint="eastAsia" w:ascii="仿宋" w:hAnsi="仿宋" w:eastAsia="仿宋" w:cs="仿宋"/>
          <w:sz w:val="32"/>
          <w:szCs w:val="32"/>
        </w:rPr>
        <w:t>经自评，项目自评得分均在</w:t>
      </w:r>
      <w:r>
        <w:rPr>
          <w:rFonts w:hint="eastAsia" w:ascii="仿宋" w:hAnsi="仿宋" w:eastAsia="仿宋" w:cs="仿宋"/>
          <w:sz w:val="32"/>
          <w:szCs w:val="32"/>
          <w:lang w:val="en-US" w:eastAsia="zh-CN"/>
        </w:rPr>
        <w:t>95</w:t>
      </w:r>
      <w:r>
        <w:rPr>
          <w:rFonts w:hint="eastAsia" w:ascii="仿宋" w:hAnsi="仿宋" w:eastAsia="仿宋" w:cs="仿宋"/>
          <w:sz w:val="32"/>
          <w:szCs w:val="32"/>
        </w:rPr>
        <w:t>分以上，较好的完成了年度工作目标，综合评价等级为“优秀”。</w:t>
      </w:r>
    </w:p>
    <w:p w14:paraId="3D6B9338">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6F61873">
      <w:pPr>
        <w:keepNext w:val="0"/>
        <w:keepLines w:val="0"/>
        <w:pageBreakBefore w:val="0"/>
        <w:kinsoku/>
        <w:wordWrap/>
        <w:overflowPunct/>
        <w:topLinePunct w:val="0"/>
        <w:autoSpaceDE/>
        <w:autoSpaceDN/>
        <w:bidi w:val="0"/>
        <w:adjustRightInd w:val="0"/>
        <w:snapToGrid w:val="0"/>
        <w:spacing w:line="560" w:lineRule="exact"/>
        <w:ind w:firstLine="900" w:firstLineChars="300"/>
        <w:textAlignment w:val="auto"/>
        <w:rPr>
          <w:rFonts w:hint="eastAsia" w:ascii="仿宋" w:hAnsi="仿宋" w:eastAsia="仿宋" w:cs="仿宋"/>
          <w:sz w:val="30"/>
          <w:szCs w:val="30"/>
          <w:lang w:val="en-US" w:eastAsia="zh-CN"/>
        </w:rPr>
      </w:pPr>
      <w:r>
        <w:rPr>
          <w:rFonts w:hint="eastAsia" w:ascii="仿宋" w:hAnsi="仿宋" w:eastAsia="仿宋" w:cs="仿宋"/>
          <w:sz w:val="30"/>
          <w:szCs w:val="30"/>
          <w:highlight w:val="none"/>
        </w:rPr>
        <w:t>20</w:t>
      </w:r>
      <w:r>
        <w:rPr>
          <w:rFonts w:hint="eastAsia" w:ascii="仿宋" w:hAnsi="仿宋" w:eastAsia="仿宋" w:cs="仿宋"/>
          <w:sz w:val="30"/>
          <w:szCs w:val="30"/>
          <w:highlight w:val="none"/>
          <w:lang w:val="en-US" w:eastAsia="zh-CN"/>
        </w:rPr>
        <w:t>25</w:t>
      </w:r>
      <w:r>
        <w:rPr>
          <w:rFonts w:hint="eastAsia" w:ascii="仿宋" w:hAnsi="仿宋" w:eastAsia="仿宋" w:cs="仿宋"/>
          <w:sz w:val="30"/>
          <w:szCs w:val="30"/>
          <w:highlight w:val="none"/>
        </w:rPr>
        <w:t>年</w:t>
      </w:r>
      <w:r>
        <w:rPr>
          <w:rFonts w:hint="eastAsia" w:ascii="仿宋" w:hAnsi="仿宋" w:eastAsia="仿宋" w:cs="仿宋"/>
          <w:sz w:val="30"/>
          <w:szCs w:val="30"/>
          <w:highlight w:val="none"/>
          <w:lang w:eastAsia="zh-CN"/>
        </w:rPr>
        <w:t>需进行绩效自评的项目为</w:t>
      </w:r>
      <w:r>
        <w:rPr>
          <w:rFonts w:hint="eastAsia" w:ascii="仿宋" w:hAnsi="仿宋" w:eastAsia="仿宋" w:cs="仿宋"/>
          <w:sz w:val="30"/>
          <w:szCs w:val="30"/>
          <w:highlight w:val="none"/>
          <w:lang w:val="en-US" w:eastAsia="zh-CN"/>
        </w:rPr>
        <w:t>10个，分别为2025年生态治理专项项目，金额42.5706万元；2025年度中央大气污染防治资金项目，金额155万元；2025年抑尘车运行维护费项目，金额20.082374万元；非道路移动机械、油气回收装置抽测费用，金额11.7万元；赵县洨河生态湿地水质净化工程，金额140万元；冀财资环【2023】113号赵县汪洋沟流域污水处理厂尾水生态湿地净化提标即再生水循环利用工程，金额2699.2489万元；赵县实施重点污染源排放高值空间溯源及决策系统项目，金额50万元；洨河防汛应急药品费8.26万元；机动车OBD诊断仪，金额38.74万元；拖欠企业账款项目108.4194万元</w:t>
      </w:r>
      <w:r>
        <w:rPr>
          <w:rFonts w:hint="eastAsia" w:ascii="仿宋" w:hAnsi="仿宋" w:eastAsia="仿宋" w:cs="仿宋"/>
          <w:sz w:val="30"/>
          <w:szCs w:val="30"/>
          <w:lang w:val="en-US" w:eastAsia="zh-CN"/>
        </w:rPr>
        <w:t>。</w:t>
      </w:r>
    </w:p>
    <w:p w14:paraId="53D10B77">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7C15D51">
      <w:pPr>
        <w:keepNext w:val="0"/>
        <w:keepLines w:val="0"/>
        <w:pageBreakBefore w:val="0"/>
        <w:widowControl/>
        <w:kinsoku/>
        <w:wordWrap/>
        <w:overflowPunct/>
        <w:topLinePunct w:val="0"/>
        <w:autoSpaceDE/>
        <w:autoSpaceDN/>
        <w:bidi w:val="0"/>
        <w:adjustRightInd/>
        <w:snapToGrid/>
        <w:spacing w:after="200" w:line="560" w:lineRule="exact"/>
        <w:ind w:left="0" w:leftChars="0" w:right="0" w:rightChars="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经自评，项目自评得分均在</w:t>
      </w:r>
      <w:r>
        <w:rPr>
          <w:rFonts w:hint="eastAsia" w:ascii="仿宋" w:hAnsi="仿宋" w:eastAsia="仿宋" w:cs="仿宋"/>
          <w:sz w:val="32"/>
          <w:szCs w:val="32"/>
          <w:lang w:val="en-US" w:eastAsia="zh-CN"/>
        </w:rPr>
        <w:t>,95</w:t>
      </w:r>
      <w:r>
        <w:rPr>
          <w:rFonts w:hint="eastAsia" w:ascii="仿宋" w:hAnsi="仿宋" w:eastAsia="仿宋" w:cs="仿宋"/>
          <w:sz w:val="32"/>
          <w:szCs w:val="32"/>
        </w:rPr>
        <w:t>分以上，较好的完成了年度工作目标，综合评价等级为“优秀”。</w:t>
      </w:r>
    </w:p>
    <w:p w14:paraId="4548CC43">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26BF3803">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55A89884">
      <w:pPr>
        <w:pStyle w:val="2"/>
        <w:rPr>
          <w:rFonts w:hint="eastAsia" w:eastAsia="楷体"/>
          <w:lang w:eastAsia="zh-CN"/>
        </w:rPr>
      </w:pPr>
      <w:r>
        <w:rPr>
          <w:rFonts w:hint="eastAsia" w:ascii="楷体" w:hAnsi="楷体" w:eastAsia="楷体"/>
          <w:bCs/>
          <w:sz w:val="32"/>
          <w:szCs w:val="32"/>
          <w:lang w:eastAsia="zh-CN"/>
        </w:rPr>
        <w:t>无</w:t>
      </w:r>
    </w:p>
    <w:p w14:paraId="6932AD09">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29785DB4">
      <w:pPr>
        <w:adjustRightInd w:val="0"/>
        <w:snapToGrid w:val="0"/>
        <w:spacing w:line="560" w:lineRule="exact"/>
        <w:ind w:firstLine="640" w:firstLineChars="200"/>
        <w:rPr>
          <w:rFonts w:hint="eastAsia" w:ascii="楷体" w:hAnsi="楷体" w:eastAsia="楷体"/>
          <w:bCs/>
          <w:sz w:val="32"/>
          <w:szCs w:val="32"/>
          <w:lang w:eastAsia="zh-CN"/>
        </w:rPr>
      </w:pPr>
      <w:r>
        <w:rPr>
          <w:rFonts w:hint="eastAsia" w:ascii="楷体" w:hAnsi="楷体" w:eastAsia="楷体"/>
          <w:bCs/>
          <w:sz w:val="32"/>
          <w:szCs w:val="32"/>
          <w:lang w:eastAsia="zh-CN"/>
        </w:rPr>
        <w:t>无</w:t>
      </w:r>
    </w:p>
    <w:p w14:paraId="33B109F2">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w:t>
      </w:r>
    </w:p>
    <w:tbl>
      <w:tblPr>
        <w:tblStyle w:val="9"/>
        <w:tblpPr w:leftFromText="180" w:rightFromText="180" w:vertAnchor="text" w:horzAnchor="page" w:tblpX="2762" w:tblpY="34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4"/>
        <w:gridCol w:w="2860"/>
        <w:gridCol w:w="1843"/>
        <w:gridCol w:w="2126"/>
      </w:tblGrid>
      <w:tr w14:paraId="728D1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454" w:type="dxa"/>
            <w:tcBorders>
              <w:top w:val="single" w:color="auto" w:sz="4" w:space="0"/>
              <w:left w:val="single" w:color="auto" w:sz="4" w:space="0"/>
              <w:bottom w:val="single" w:color="auto" w:sz="4" w:space="0"/>
              <w:right w:val="single" w:color="auto" w:sz="4" w:space="0"/>
            </w:tcBorders>
            <w:noWrap w:val="0"/>
            <w:vAlign w:val="center"/>
          </w:tcPr>
          <w:p w14:paraId="1ABC5981">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姓 名</w:t>
            </w:r>
          </w:p>
        </w:tc>
        <w:tc>
          <w:tcPr>
            <w:tcW w:w="2860" w:type="dxa"/>
            <w:tcBorders>
              <w:top w:val="single" w:color="auto" w:sz="4" w:space="0"/>
              <w:left w:val="single" w:color="auto" w:sz="4" w:space="0"/>
              <w:bottom w:val="single" w:color="auto" w:sz="4" w:space="0"/>
              <w:right w:val="single" w:color="auto" w:sz="4" w:space="0"/>
            </w:tcBorders>
            <w:noWrap w:val="0"/>
            <w:vAlign w:val="center"/>
          </w:tcPr>
          <w:p w14:paraId="2B87394A">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工作单位</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6A0C2EDE">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职务</w:t>
            </w:r>
          </w:p>
        </w:tc>
        <w:tc>
          <w:tcPr>
            <w:tcW w:w="2126" w:type="dxa"/>
            <w:tcBorders>
              <w:top w:val="single" w:color="auto" w:sz="4" w:space="0"/>
              <w:left w:val="single" w:color="auto" w:sz="4" w:space="0"/>
              <w:bottom w:val="single" w:color="auto" w:sz="4" w:space="0"/>
              <w:right w:val="single" w:color="auto" w:sz="4" w:space="0"/>
            </w:tcBorders>
            <w:noWrap w:val="0"/>
            <w:vAlign w:val="center"/>
          </w:tcPr>
          <w:p w14:paraId="1EC2DB72">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签字</w:t>
            </w:r>
          </w:p>
        </w:tc>
      </w:tr>
      <w:tr w14:paraId="6F038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1454" w:type="dxa"/>
            <w:tcBorders>
              <w:top w:val="single" w:color="auto" w:sz="4" w:space="0"/>
              <w:left w:val="single" w:color="auto" w:sz="4" w:space="0"/>
              <w:bottom w:val="single" w:color="auto" w:sz="4" w:space="0"/>
              <w:right w:val="single" w:color="auto" w:sz="4" w:space="0"/>
            </w:tcBorders>
            <w:noWrap w:val="0"/>
            <w:vAlign w:val="center"/>
          </w:tcPr>
          <w:p w14:paraId="381F045A">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魏双利</w:t>
            </w:r>
          </w:p>
        </w:tc>
        <w:tc>
          <w:tcPr>
            <w:tcW w:w="2860" w:type="dxa"/>
            <w:tcBorders>
              <w:top w:val="single" w:color="auto" w:sz="4" w:space="0"/>
              <w:left w:val="single" w:color="auto" w:sz="4" w:space="0"/>
              <w:bottom w:val="single" w:color="auto" w:sz="4" w:space="0"/>
              <w:right w:val="single" w:color="auto" w:sz="4" w:space="0"/>
            </w:tcBorders>
            <w:noWrap w:val="0"/>
            <w:vAlign w:val="center"/>
          </w:tcPr>
          <w:p w14:paraId="7A3EEB8C">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赵县生态环境分局</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7B7C77E3">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局长</w:t>
            </w:r>
          </w:p>
        </w:tc>
        <w:tc>
          <w:tcPr>
            <w:tcW w:w="2126" w:type="dxa"/>
            <w:tcBorders>
              <w:top w:val="single" w:color="auto" w:sz="4" w:space="0"/>
              <w:left w:val="single" w:color="auto" w:sz="4" w:space="0"/>
              <w:bottom w:val="single" w:color="auto" w:sz="4" w:space="0"/>
              <w:right w:val="single" w:color="auto" w:sz="4" w:space="0"/>
            </w:tcBorders>
            <w:noWrap w:val="0"/>
            <w:vAlign w:val="center"/>
          </w:tcPr>
          <w:p w14:paraId="0AA3C9A6">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p>
        </w:tc>
      </w:tr>
      <w:tr w14:paraId="6247E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1454" w:type="dxa"/>
            <w:tcBorders>
              <w:top w:val="single" w:color="auto" w:sz="4" w:space="0"/>
              <w:left w:val="single" w:color="auto" w:sz="4" w:space="0"/>
              <w:bottom w:val="single" w:color="auto" w:sz="4" w:space="0"/>
              <w:right w:val="single" w:color="auto" w:sz="4" w:space="0"/>
            </w:tcBorders>
            <w:noWrap w:val="0"/>
            <w:vAlign w:val="center"/>
          </w:tcPr>
          <w:p w14:paraId="0F5090A0">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靳凤航</w:t>
            </w:r>
          </w:p>
        </w:tc>
        <w:tc>
          <w:tcPr>
            <w:tcW w:w="2860" w:type="dxa"/>
            <w:tcBorders>
              <w:top w:val="single" w:color="auto" w:sz="4" w:space="0"/>
              <w:left w:val="single" w:color="auto" w:sz="4" w:space="0"/>
              <w:bottom w:val="single" w:color="auto" w:sz="4" w:space="0"/>
              <w:right w:val="single" w:color="auto" w:sz="4" w:space="0"/>
            </w:tcBorders>
            <w:noWrap w:val="0"/>
            <w:vAlign w:val="center"/>
          </w:tcPr>
          <w:p w14:paraId="06E799A6">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赵县生态环境分局</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10347EFF">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党总支委员</w:t>
            </w:r>
          </w:p>
        </w:tc>
        <w:tc>
          <w:tcPr>
            <w:tcW w:w="2126" w:type="dxa"/>
            <w:tcBorders>
              <w:top w:val="single" w:color="auto" w:sz="4" w:space="0"/>
              <w:left w:val="single" w:color="auto" w:sz="4" w:space="0"/>
              <w:bottom w:val="single" w:color="auto" w:sz="4" w:space="0"/>
              <w:right w:val="single" w:color="auto" w:sz="4" w:space="0"/>
            </w:tcBorders>
            <w:noWrap w:val="0"/>
            <w:vAlign w:val="center"/>
          </w:tcPr>
          <w:p w14:paraId="08DF692E">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p>
        </w:tc>
      </w:tr>
      <w:tr w14:paraId="4F30B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1454" w:type="dxa"/>
            <w:tcBorders>
              <w:top w:val="single" w:color="auto" w:sz="4" w:space="0"/>
              <w:left w:val="single" w:color="auto" w:sz="4" w:space="0"/>
              <w:bottom w:val="single" w:color="auto" w:sz="4" w:space="0"/>
              <w:right w:val="single" w:color="auto" w:sz="4" w:space="0"/>
            </w:tcBorders>
            <w:noWrap w:val="0"/>
            <w:vAlign w:val="center"/>
          </w:tcPr>
          <w:p w14:paraId="4110BD57">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张英伟</w:t>
            </w:r>
          </w:p>
        </w:tc>
        <w:tc>
          <w:tcPr>
            <w:tcW w:w="2860" w:type="dxa"/>
            <w:tcBorders>
              <w:top w:val="single" w:color="auto" w:sz="4" w:space="0"/>
              <w:left w:val="single" w:color="auto" w:sz="4" w:space="0"/>
              <w:bottom w:val="single" w:color="auto" w:sz="4" w:space="0"/>
              <w:right w:val="single" w:color="auto" w:sz="4" w:space="0"/>
            </w:tcBorders>
            <w:noWrap w:val="0"/>
            <w:vAlign w:val="center"/>
          </w:tcPr>
          <w:p w14:paraId="6DF052B3">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rPr>
              <w:t>赵县生态环境分局</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7BB855E5">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lang w:eastAsia="zh-CN"/>
              </w:rPr>
              <w:t>党总支委员</w:t>
            </w:r>
          </w:p>
        </w:tc>
        <w:tc>
          <w:tcPr>
            <w:tcW w:w="2126" w:type="dxa"/>
            <w:tcBorders>
              <w:top w:val="single" w:color="auto" w:sz="4" w:space="0"/>
              <w:left w:val="single" w:color="auto" w:sz="4" w:space="0"/>
              <w:bottom w:val="single" w:color="auto" w:sz="4" w:space="0"/>
              <w:right w:val="single" w:color="auto" w:sz="4" w:space="0"/>
            </w:tcBorders>
            <w:noWrap w:val="0"/>
            <w:vAlign w:val="center"/>
          </w:tcPr>
          <w:p w14:paraId="4F047F06">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p>
        </w:tc>
      </w:tr>
      <w:tr w14:paraId="5929A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1454" w:type="dxa"/>
            <w:tcBorders>
              <w:top w:val="single" w:color="auto" w:sz="4" w:space="0"/>
              <w:left w:val="single" w:color="auto" w:sz="4" w:space="0"/>
              <w:bottom w:val="single" w:color="auto" w:sz="4" w:space="0"/>
              <w:right w:val="single" w:color="auto" w:sz="4" w:space="0"/>
            </w:tcBorders>
            <w:noWrap w:val="0"/>
            <w:vAlign w:val="center"/>
          </w:tcPr>
          <w:p w14:paraId="6B60EF75">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王华伟</w:t>
            </w:r>
          </w:p>
        </w:tc>
        <w:tc>
          <w:tcPr>
            <w:tcW w:w="2860" w:type="dxa"/>
            <w:tcBorders>
              <w:top w:val="single" w:color="auto" w:sz="4" w:space="0"/>
              <w:left w:val="single" w:color="auto" w:sz="4" w:space="0"/>
              <w:bottom w:val="single" w:color="auto" w:sz="4" w:space="0"/>
              <w:right w:val="single" w:color="auto" w:sz="4" w:space="0"/>
            </w:tcBorders>
            <w:noWrap w:val="0"/>
            <w:vAlign w:val="center"/>
          </w:tcPr>
          <w:p w14:paraId="73FA12AD">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赵县生态环境分局</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3AADE459">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eastAsia="zh-CN"/>
              </w:rPr>
            </w:pPr>
            <w:r>
              <w:rPr>
                <w:rFonts w:hint="eastAsia" w:ascii="仿宋" w:hAnsi="仿宋" w:eastAsia="仿宋" w:cs="仿宋"/>
                <w:sz w:val="24"/>
                <w:szCs w:val="24"/>
                <w:lang w:eastAsia="zh-CN"/>
              </w:rPr>
              <w:t>监控中心主任</w:t>
            </w:r>
          </w:p>
        </w:tc>
        <w:tc>
          <w:tcPr>
            <w:tcW w:w="2126" w:type="dxa"/>
            <w:tcBorders>
              <w:top w:val="single" w:color="auto" w:sz="4" w:space="0"/>
              <w:left w:val="single" w:color="auto" w:sz="4" w:space="0"/>
              <w:bottom w:val="single" w:color="auto" w:sz="4" w:space="0"/>
              <w:right w:val="single" w:color="auto" w:sz="4" w:space="0"/>
            </w:tcBorders>
            <w:noWrap w:val="0"/>
            <w:vAlign w:val="center"/>
          </w:tcPr>
          <w:p w14:paraId="4CCF3F66">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p>
        </w:tc>
      </w:tr>
      <w:tr w14:paraId="1AF09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1454" w:type="dxa"/>
            <w:tcBorders>
              <w:top w:val="single" w:color="auto" w:sz="4" w:space="0"/>
              <w:left w:val="single" w:color="auto" w:sz="4" w:space="0"/>
              <w:bottom w:val="single" w:color="auto" w:sz="4" w:space="0"/>
              <w:right w:val="single" w:color="auto" w:sz="4" w:space="0"/>
            </w:tcBorders>
            <w:noWrap w:val="0"/>
            <w:vAlign w:val="center"/>
          </w:tcPr>
          <w:p w14:paraId="3290FF2C">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谷占涛</w:t>
            </w:r>
          </w:p>
        </w:tc>
        <w:tc>
          <w:tcPr>
            <w:tcW w:w="2860" w:type="dxa"/>
            <w:tcBorders>
              <w:top w:val="single" w:color="auto" w:sz="4" w:space="0"/>
              <w:left w:val="single" w:color="auto" w:sz="4" w:space="0"/>
              <w:bottom w:val="single" w:color="auto" w:sz="4" w:space="0"/>
              <w:right w:val="single" w:color="auto" w:sz="4" w:space="0"/>
            </w:tcBorders>
            <w:noWrap w:val="0"/>
            <w:vAlign w:val="center"/>
          </w:tcPr>
          <w:p w14:paraId="1B9E56DD">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赵县生态环境分局</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17866163">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执法大队长</w:t>
            </w:r>
          </w:p>
        </w:tc>
        <w:tc>
          <w:tcPr>
            <w:tcW w:w="2126" w:type="dxa"/>
            <w:tcBorders>
              <w:top w:val="single" w:color="auto" w:sz="4" w:space="0"/>
              <w:left w:val="single" w:color="auto" w:sz="4" w:space="0"/>
              <w:bottom w:val="single" w:color="auto" w:sz="4" w:space="0"/>
              <w:right w:val="single" w:color="auto" w:sz="4" w:space="0"/>
            </w:tcBorders>
            <w:noWrap w:val="0"/>
            <w:vAlign w:val="center"/>
          </w:tcPr>
          <w:p w14:paraId="3D6E94B1">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p>
        </w:tc>
      </w:tr>
      <w:tr w14:paraId="6B2DB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1454" w:type="dxa"/>
            <w:tcBorders>
              <w:top w:val="single" w:color="auto" w:sz="4" w:space="0"/>
              <w:left w:val="single" w:color="auto" w:sz="4" w:space="0"/>
              <w:bottom w:val="single" w:color="auto" w:sz="4" w:space="0"/>
              <w:right w:val="single" w:color="auto" w:sz="4" w:space="0"/>
            </w:tcBorders>
            <w:noWrap w:val="0"/>
            <w:vAlign w:val="center"/>
          </w:tcPr>
          <w:p w14:paraId="59D4F66E">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朱新英</w:t>
            </w:r>
          </w:p>
        </w:tc>
        <w:tc>
          <w:tcPr>
            <w:tcW w:w="2860" w:type="dxa"/>
            <w:tcBorders>
              <w:top w:val="single" w:color="auto" w:sz="4" w:space="0"/>
              <w:left w:val="single" w:color="auto" w:sz="4" w:space="0"/>
              <w:bottom w:val="single" w:color="auto" w:sz="4" w:space="0"/>
              <w:right w:val="single" w:color="auto" w:sz="4" w:space="0"/>
            </w:tcBorders>
            <w:noWrap w:val="0"/>
            <w:vAlign w:val="center"/>
          </w:tcPr>
          <w:p w14:paraId="76D1EEB3">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赵县生态环境分局</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1AAA69C6">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水组组长</w:t>
            </w:r>
          </w:p>
        </w:tc>
        <w:tc>
          <w:tcPr>
            <w:tcW w:w="2126" w:type="dxa"/>
            <w:tcBorders>
              <w:top w:val="single" w:color="auto" w:sz="4" w:space="0"/>
              <w:left w:val="single" w:color="auto" w:sz="4" w:space="0"/>
              <w:bottom w:val="single" w:color="auto" w:sz="4" w:space="0"/>
              <w:right w:val="single" w:color="auto" w:sz="4" w:space="0"/>
            </w:tcBorders>
            <w:noWrap w:val="0"/>
            <w:vAlign w:val="center"/>
          </w:tcPr>
          <w:p w14:paraId="0AD30DC9">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p>
        </w:tc>
      </w:tr>
      <w:tr w14:paraId="001FD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1454" w:type="dxa"/>
            <w:tcBorders>
              <w:top w:val="single" w:color="auto" w:sz="4" w:space="0"/>
              <w:left w:val="single" w:color="auto" w:sz="4" w:space="0"/>
              <w:bottom w:val="single" w:color="auto" w:sz="4" w:space="0"/>
              <w:right w:val="single" w:color="auto" w:sz="4" w:space="0"/>
            </w:tcBorders>
            <w:noWrap w:val="0"/>
            <w:vAlign w:val="center"/>
          </w:tcPr>
          <w:p w14:paraId="5B772FEF">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侯伟民</w:t>
            </w:r>
          </w:p>
        </w:tc>
        <w:tc>
          <w:tcPr>
            <w:tcW w:w="2860" w:type="dxa"/>
            <w:tcBorders>
              <w:top w:val="single" w:color="auto" w:sz="4" w:space="0"/>
              <w:left w:val="single" w:color="auto" w:sz="4" w:space="0"/>
              <w:bottom w:val="single" w:color="auto" w:sz="4" w:space="0"/>
              <w:right w:val="single" w:color="auto" w:sz="4" w:space="0"/>
            </w:tcBorders>
            <w:noWrap w:val="0"/>
            <w:vAlign w:val="center"/>
          </w:tcPr>
          <w:p w14:paraId="5539FA84">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赵县生态环境分局</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0FB72A2A">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大气组组长</w:t>
            </w:r>
          </w:p>
        </w:tc>
        <w:tc>
          <w:tcPr>
            <w:tcW w:w="2126" w:type="dxa"/>
            <w:tcBorders>
              <w:top w:val="single" w:color="auto" w:sz="4" w:space="0"/>
              <w:left w:val="single" w:color="auto" w:sz="4" w:space="0"/>
              <w:bottom w:val="single" w:color="auto" w:sz="4" w:space="0"/>
              <w:right w:val="single" w:color="auto" w:sz="4" w:space="0"/>
            </w:tcBorders>
            <w:noWrap w:val="0"/>
            <w:vAlign w:val="center"/>
          </w:tcPr>
          <w:p w14:paraId="4827F61B">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p>
        </w:tc>
      </w:tr>
      <w:tr w14:paraId="009AB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1454" w:type="dxa"/>
            <w:tcBorders>
              <w:top w:val="single" w:color="auto" w:sz="4" w:space="0"/>
              <w:left w:val="single" w:color="auto" w:sz="4" w:space="0"/>
              <w:bottom w:val="single" w:color="auto" w:sz="4" w:space="0"/>
              <w:right w:val="single" w:color="auto" w:sz="4" w:space="0"/>
            </w:tcBorders>
            <w:noWrap w:val="0"/>
            <w:vAlign w:val="center"/>
          </w:tcPr>
          <w:p w14:paraId="38C39EEB">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杨建坤</w:t>
            </w:r>
          </w:p>
        </w:tc>
        <w:tc>
          <w:tcPr>
            <w:tcW w:w="2860" w:type="dxa"/>
            <w:tcBorders>
              <w:top w:val="single" w:color="auto" w:sz="4" w:space="0"/>
              <w:left w:val="single" w:color="auto" w:sz="4" w:space="0"/>
              <w:bottom w:val="single" w:color="auto" w:sz="4" w:space="0"/>
              <w:right w:val="single" w:color="auto" w:sz="4" w:space="0"/>
            </w:tcBorders>
            <w:noWrap w:val="0"/>
            <w:vAlign w:val="center"/>
          </w:tcPr>
          <w:p w14:paraId="7E5F4160">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赵县生态环境分局</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2DA8E407">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生态组组长</w:t>
            </w:r>
          </w:p>
        </w:tc>
        <w:tc>
          <w:tcPr>
            <w:tcW w:w="2126" w:type="dxa"/>
            <w:tcBorders>
              <w:top w:val="single" w:color="auto" w:sz="4" w:space="0"/>
              <w:left w:val="single" w:color="auto" w:sz="4" w:space="0"/>
              <w:bottom w:val="single" w:color="auto" w:sz="4" w:space="0"/>
              <w:right w:val="single" w:color="auto" w:sz="4" w:space="0"/>
            </w:tcBorders>
            <w:noWrap w:val="0"/>
            <w:vAlign w:val="center"/>
          </w:tcPr>
          <w:p w14:paraId="433380CD">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p>
        </w:tc>
      </w:tr>
      <w:tr w14:paraId="2C5AD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1454" w:type="dxa"/>
            <w:tcBorders>
              <w:top w:val="single" w:color="auto" w:sz="4" w:space="0"/>
              <w:left w:val="single" w:color="auto" w:sz="4" w:space="0"/>
              <w:bottom w:val="single" w:color="auto" w:sz="4" w:space="0"/>
              <w:right w:val="single" w:color="auto" w:sz="4" w:space="0"/>
            </w:tcBorders>
            <w:noWrap w:val="0"/>
            <w:vAlign w:val="center"/>
          </w:tcPr>
          <w:p w14:paraId="23CE5904">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孙彦飞</w:t>
            </w:r>
          </w:p>
        </w:tc>
        <w:tc>
          <w:tcPr>
            <w:tcW w:w="2860" w:type="dxa"/>
            <w:tcBorders>
              <w:top w:val="single" w:color="auto" w:sz="4" w:space="0"/>
              <w:left w:val="single" w:color="auto" w:sz="4" w:space="0"/>
              <w:bottom w:val="single" w:color="auto" w:sz="4" w:space="0"/>
              <w:right w:val="single" w:color="auto" w:sz="4" w:space="0"/>
            </w:tcBorders>
            <w:noWrap w:val="0"/>
            <w:vAlign w:val="center"/>
          </w:tcPr>
          <w:p w14:paraId="350F84D1">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赵县生态环境分局</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2D093300">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行政组组长</w:t>
            </w:r>
          </w:p>
        </w:tc>
        <w:tc>
          <w:tcPr>
            <w:tcW w:w="2126" w:type="dxa"/>
            <w:tcBorders>
              <w:top w:val="single" w:color="auto" w:sz="4" w:space="0"/>
              <w:left w:val="single" w:color="auto" w:sz="4" w:space="0"/>
              <w:bottom w:val="single" w:color="auto" w:sz="4" w:space="0"/>
              <w:right w:val="single" w:color="auto" w:sz="4" w:space="0"/>
            </w:tcBorders>
            <w:noWrap w:val="0"/>
            <w:vAlign w:val="center"/>
          </w:tcPr>
          <w:p w14:paraId="0CDAF5DD">
            <w:pPr>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sz w:val="32"/>
                <w:szCs w:val="32"/>
              </w:rPr>
            </w:pPr>
          </w:p>
        </w:tc>
      </w:tr>
    </w:tbl>
    <w:p w14:paraId="764284C0">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32"/>
          <w:szCs w:val="32"/>
        </w:rPr>
      </w:pPr>
    </w:p>
    <w:p w14:paraId="3B335E6A">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altName w:val="黑体"/>
    <w:panose1 w:val="02010601030101010101"/>
    <w:charset w:val="86"/>
    <w:family w:val="auto"/>
    <w:pitch w:val="default"/>
    <w:sig w:usb0="00000000" w:usb1="0000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143090">
    <w:pPr>
      <w:pStyle w:val="6"/>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30710E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3CDB8FDE"/>
    <w:multiLevelType w:val="singleLevel"/>
    <w:tmpl w:val="3CDB8FDE"/>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2106AB0"/>
    <w:rsid w:val="02B43A28"/>
    <w:rsid w:val="046F331E"/>
    <w:rsid w:val="07956271"/>
    <w:rsid w:val="09721397"/>
    <w:rsid w:val="0BB63BED"/>
    <w:rsid w:val="0DC575A7"/>
    <w:rsid w:val="0EB97A43"/>
    <w:rsid w:val="0EBD2122"/>
    <w:rsid w:val="0F214EAE"/>
    <w:rsid w:val="11B71E6A"/>
    <w:rsid w:val="1AAF0063"/>
    <w:rsid w:val="1BE140DE"/>
    <w:rsid w:val="1D491BD5"/>
    <w:rsid w:val="248C197D"/>
    <w:rsid w:val="252959AF"/>
    <w:rsid w:val="277A6671"/>
    <w:rsid w:val="281A529E"/>
    <w:rsid w:val="292D35B7"/>
    <w:rsid w:val="320F4DE9"/>
    <w:rsid w:val="33EB6CFF"/>
    <w:rsid w:val="35A12947"/>
    <w:rsid w:val="37387040"/>
    <w:rsid w:val="3A7C2BAF"/>
    <w:rsid w:val="3B625C0A"/>
    <w:rsid w:val="3CEE1963"/>
    <w:rsid w:val="424E1A22"/>
    <w:rsid w:val="436B78D3"/>
    <w:rsid w:val="48027536"/>
    <w:rsid w:val="4C9C27FE"/>
    <w:rsid w:val="512260B4"/>
    <w:rsid w:val="52BD6ACB"/>
    <w:rsid w:val="55537534"/>
    <w:rsid w:val="561A74F1"/>
    <w:rsid w:val="597244E8"/>
    <w:rsid w:val="5EB71C30"/>
    <w:rsid w:val="601E082E"/>
    <w:rsid w:val="657C227E"/>
    <w:rsid w:val="66AF0CE5"/>
    <w:rsid w:val="6AC537CF"/>
    <w:rsid w:val="6B8A1C84"/>
    <w:rsid w:val="6E5B14A6"/>
    <w:rsid w:val="711B255E"/>
    <w:rsid w:val="7BB51E06"/>
    <w:rsid w:val="7C387F7C"/>
    <w:rsid w:val="7F3C0271"/>
    <w:rsid w:val="7F3D033F"/>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0"/>
    <w:pPr>
      <w:tabs>
        <w:tab w:val="left" w:pos="2880"/>
      </w:tabs>
      <w:ind w:firstLine="420" w:firstLineChars="200"/>
    </w:pPr>
  </w:style>
  <w:style w:type="paragraph" w:styleId="3">
    <w:name w:val="Body Text Indent"/>
    <w:basedOn w:val="1"/>
    <w:qFormat/>
    <w:uiPriority w:val="0"/>
    <w:pPr>
      <w:tabs>
        <w:tab w:val="left" w:pos="2880"/>
      </w:tabs>
      <w:spacing w:line="360" w:lineRule="auto"/>
      <w:ind w:firstLine="480"/>
    </w:pPr>
    <w:rPr>
      <w:rFonts w:eastAsia="等线"/>
      <w:bCs/>
      <w:szCs w:val="24"/>
    </w:rPr>
  </w:style>
  <w:style w:type="paragraph" w:styleId="4">
    <w:name w:val="Normal Indent"/>
    <w:basedOn w:val="1"/>
    <w:next w:val="5"/>
    <w:qFormat/>
    <w:uiPriority w:val="0"/>
    <w:pPr>
      <w:ind w:firstLine="420" w:firstLineChars="200"/>
    </w:pPr>
  </w:style>
  <w:style w:type="paragraph" w:styleId="5">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8">
    <w:name w:val="footnote text"/>
    <w:basedOn w:val="1"/>
    <w:qFormat/>
    <w:uiPriority w:val="0"/>
    <w:pPr>
      <w:snapToGrid w:val="0"/>
      <w:jc w:val="left"/>
    </w:pPr>
    <w:rPr>
      <w:sz w:val="18"/>
      <w:szCs w:val="18"/>
    </w:rPr>
  </w:style>
  <w:style w:type="paragraph" w:customStyle="1" w:styleId="11">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2349</Words>
  <Characters>2493</Characters>
  <Lines>4</Lines>
  <Paragraphs>1</Paragraphs>
  <TotalTime>0</TotalTime>
  <ScaleCrop>false</ScaleCrop>
  <LinksUpToDate>false</LinksUpToDate>
  <CharactersWithSpaces>2516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2026-04-16T05:52:00Z</cp:lastPrinted>
  <dcterms:modified xsi:type="dcterms:W3CDTF">2026-05-13T07:26:55Z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eyJoZGlkIjoiY2Q1YmEwODljMjhlMDViZDY2ZTI0MGM5YzhhNmYyYzUiLCJ1c2VySWQiOiIxNTUwMjQwMDk2In0=</vt:lpwstr>
  </property>
</Properties>
</file>