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F83F8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01D53DB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FE7C7D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赵县人力资源社会保障局部门</w:t>
      </w:r>
    </w:p>
    <w:p w14:paraId="6046863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65E3F8D4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C30ED4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贯彻落实县委、县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赵县人力资源社会保障局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799CF1E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4E5E72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270A560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1、部门职责</w:t>
      </w:r>
    </w:p>
    <w:p w14:paraId="13EEFE4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（一）拟订全县人力资源和社会保障事业发展规划。</w:t>
      </w:r>
    </w:p>
    <w:p w14:paraId="7121082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（二）拟订人力资源市场发展规划和人力资源服务业发展、人力资源流动政策，促进人力资源合理流动、有效配置。按照管理权限拟订人员（不含公务员）调配政策和特殊人员安置政策。</w:t>
      </w:r>
    </w:p>
    <w:p w14:paraId="66599ED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负责促进就业创业工作，拟订统筹城乡的就业发展规划和促进就业创业扶持政策，完善公共就业服务体系，拟订全县职业培训机构发展规划和管理规划并组织实施，统筹建立面向城乡劳动者的职业技能培训制度，加强就业服务和就业培训，拟订就业援助制度，贯彻执行高校毕业生就业政策，按规定负责中专以上毕业生（非师范类）的就业工作。</w:t>
      </w:r>
    </w:p>
    <w:p w14:paraId="1A46500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统筹推进覆盖城乡的多层次社会保障体系建设。负责养老、失业、工伤等社会保险及其补充保险工作。负责养老、失业、工伤保险关系转续和基金统筹管理工作，会同有关部门拟订养老、失业、工伤保险及其补充保险基金管理和监督制度。审核汇总相关社会保险基金预决算草案。负责企业年金、职业年金管理工作，会同有关部门实施全民参保计划并参与省、市统一的社会保险公共服务平台建设工作。</w:t>
      </w:r>
    </w:p>
    <w:p w14:paraId="1C66737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（五）负责就业、失业和相关社会保险基金预测预警和信息引导，拟订应对预案，实施预防、调节和控制，保持就业形势稳定和社会保险基金总体收支平衡。</w:t>
      </w:r>
    </w:p>
    <w:p w14:paraId="286A02B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负责劳动人事争议调解仲裁和劳动关系监管工作，完善劳动关系协商协调机制，组织实施职工工作时间、休息休假和假期制度。负责消除非法使用童工和女工、未成年工的特殊劳动保护工作。组织实施劳动保障监察，协调劳动者维权工作，依法查处重大案件。</w:t>
      </w:r>
    </w:p>
    <w:p w14:paraId="5A17AC1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拟订人才工作有关目标并做好相关实施工作，参与全县人才工作的指导、组织、协调和管理，承办有关人才工作。会同有关部门做好市场化、社会化的人才管理服务体系建设工作。负责人事考试工作。负责人才分类评价机制推进实施，牵头推进全县深化职称制度改革，综合管理全县职称工作。负责专业技术人员管理、继续教育和博士后管理工作，负责高层次专业技术人才选拔和培养，拟订吸引留学人员来赵（回国）工作或定居政策，组织拟订技能人才培训、评价、使用和激励制度。贯彻执行职业资格制度，负责职业技能多元化评价工作。</w:t>
      </w:r>
    </w:p>
    <w:p w14:paraId="18760A8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（八）会同有关部门指导事业单位人事制度改革，按照管理权限负责规范事业单位岗位设置、公开招聘、聘用合同、考核奖惩、培训等人事综合管理工作，负责事业单位人员和机关工勤人员管理工作。</w:t>
      </w:r>
    </w:p>
    <w:p w14:paraId="0D090B4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会同有关部门拟订全县表彰奖励办法（不含中国共产党党内表彰、公务员奖励），组织指导各乡镇、县直各部门的评比达标表彰活动，负责全县功勋荣誉表彰奖励获得者管理工作，落实享受待遇的相关政策。</w:t>
      </w:r>
    </w:p>
    <w:p w14:paraId="5F22D17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会同有关部门做好全县事业单位人员工资收入分配管理工作，负责国有企业管理人员薪酬水平的复核、备案工作；负责企事业单位人员工资决定、正常增长和支付保障工作；负责全县企事业单位人员福利和离退休管理工作，并对政策执行情况进行监督检查。</w:t>
      </w:r>
    </w:p>
    <w:p w14:paraId="4D01F58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（十ー）负责农民工工作，对政策落实情况进行监督检查，协调解决重点难点问题，维护农民工合法权益。</w:t>
      </w:r>
    </w:p>
    <w:p w14:paraId="7B70BDC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（十二）完成县委、县政府交办的其他任务。</w:t>
      </w:r>
    </w:p>
    <w:p w14:paraId="4DCF0BE7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机构设置</w:t>
      </w:r>
    </w:p>
    <w:p w14:paraId="5A80566D">
      <w:pPr>
        <w:spacing w:line="500" w:lineRule="exact"/>
        <w:ind w:firstLine="560" w:firstLineChars="200"/>
        <w:jc w:val="center"/>
        <w:rPr>
          <w:rFonts w:hint="default" w:ascii="Times New Roman" w:hAnsi="Times New Roman" w:eastAsia="方正仿宋_GBK" w:cs="Times New Roman"/>
          <w:sz w:val="28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28"/>
          <w:lang w:val="en-US" w:eastAsia="zh-CN"/>
        </w:rPr>
        <w:t>部门机构设置情况</w:t>
      </w:r>
    </w:p>
    <w:tbl>
      <w:tblPr>
        <w:tblStyle w:val="4"/>
        <w:tblW w:w="985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 w14:paraId="39A7D8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464" w:type="dxa"/>
            <w:vAlign w:val="center"/>
          </w:tcPr>
          <w:p w14:paraId="12CCEBDD">
            <w:pPr>
              <w:pStyle w:val="6"/>
            </w:pPr>
            <w:r>
              <w:t>单位名称</w:t>
            </w:r>
          </w:p>
        </w:tc>
        <w:tc>
          <w:tcPr>
            <w:tcW w:w="2464" w:type="dxa"/>
            <w:vAlign w:val="center"/>
          </w:tcPr>
          <w:p w14:paraId="14E5BCB0">
            <w:pPr>
              <w:pStyle w:val="6"/>
            </w:pPr>
            <w:r>
              <w:t>单位性质</w:t>
            </w:r>
          </w:p>
        </w:tc>
        <w:tc>
          <w:tcPr>
            <w:tcW w:w="2464" w:type="dxa"/>
            <w:vAlign w:val="center"/>
          </w:tcPr>
          <w:p w14:paraId="2D9CB4A7">
            <w:pPr>
              <w:pStyle w:val="6"/>
            </w:pPr>
            <w:r>
              <w:t>单位规格</w:t>
            </w:r>
          </w:p>
        </w:tc>
        <w:tc>
          <w:tcPr>
            <w:tcW w:w="2464" w:type="dxa"/>
            <w:vAlign w:val="center"/>
          </w:tcPr>
          <w:p w14:paraId="0417D02A">
            <w:pPr>
              <w:pStyle w:val="6"/>
            </w:pPr>
            <w:r>
              <w:t>经费保障形式</w:t>
            </w:r>
          </w:p>
        </w:tc>
      </w:tr>
      <w:tr w14:paraId="333507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 w14:paraId="7A4D6FA6">
            <w:pPr>
              <w:pStyle w:val="7"/>
            </w:pPr>
            <w:r>
              <w:t>赵县人力资源和社会保障局本级</w:t>
            </w:r>
          </w:p>
        </w:tc>
        <w:tc>
          <w:tcPr>
            <w:tcW w:w="2464" w:type="dxa"/>
            <w:vAlign w:val="center"/>
          </w:tcPr>
          <w:p w14:paraId="07A39FF2">
            <w:pPr>
              <w:pStyle w:val="8"/>
            </w:pPr>
            <w:r>
              <w:t>行政</w:t>
            </w:r>
          </w:p>
        </w:tc>
        <w:tc>
          <w:tcPr>
            <w:tcW w:w="2464" w:type="dxa"/>
            <w:vAlign w:val="center"/>
          </w:tcPr>
          <w:p w14:paraId="7BBA9516">
            <w:pPr>
              <w:pStyle w:val="8"/>
            </w:pPr>
            <w:r>
              <w:t>正科级</w:t>
            </w:r>
          </w:p>
        </w:tc>
        <w:tc>
          <w:tcPr>
            <w:tcW w:w="2464" w:type="dxa"/>
            <w:vAlign w:val="center"/>
          </w:tcPr>
          <w:p w14:paraId="68337CC8">
            <w:pPr>
              <w:pStyle w:val="8"/>
            </w:pPr>
            <w:r>
              <w:t>财政拨款</w:t>
            </w:r>
          </w:p>
        </w:tc>
      </w:tr>
      <w:tr w14:paraId="25D8ED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 w14:paraId="1B5BCBC3">
            <w:pPr>
              <w:pStyle w:val="7"/>
            </w:pPr>
            <w:r>
              <w:t>赵县就业服务中心</w:t>
            </w:r>
          </w:p>
        </w:tc>
        <w:tc>
          <w:tcPr>
            <w:tcW w:w="2464" w:type="dxa"/>
            <w:vAlign w:val="center"/>
          </w:tcPr>
          <w:p w14:paraId="5DB56225">
            <w:pPr>
              <w:pStyle w:val="8"/>
            </w:pPr>
            <w:r>
              <w:t>事业</w:t>
            </w:r>
          </w:p>
        </w:tc>
        <w:tc>
          <w:tcPr>
            <w:tcW w:w="2464" w:type="dxa"/>
            <w:vAlign w:val="center"/>
          </w:tcPr>
          <w:p w14:paraId="4AB9D07F">
            <w:pPr>
              <w:pStyle w:val="8"/>
            </w:pPr>
            <w:r>
              <w:t>正科级</w:t>
            </w:r>
          </w:p>
        </w:tc>
        <w:tc>
          <w:tcPr>
            <w:tcW w:w="2464" w:type="dxa"/>
            <w:vAlign w:val="center"/>
          </w:tcPr>
          <w:p w14:paraId="7EE3455E">
            <w:pPr>
              <w:pStyle w:val="8"/>
            </w:pPr>
            <w:r>
              <w:t>财政性资金基本保证</w:t>
            </w:r>
          </w:p>
        </w:tc>
      </w:tr>
      <w:tr w14:paraId="62A507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 w14:paraId="7B6920AA">
            <w:pPr>
              <w:pStyle w:val="7"/>
            </w:pPr>
            <w:r>
              <w:t>赵县社会保险事业中心</w:t>
            </w:r>
          </w:p>
        </w:tc>
        <w:tc>
          <w:tcPr>
            <w:tcW w:w="2464" w:type="dxa"/>
            <w:vAlign w:val="center"/>
          </w:tcPr>
          <w:p w14:paraId="0EE92701">
            <w:pPr>
              <w:pStyle w:val="8"/>
            </w:pPr>
            <w:r>
              <w:t>事业</w:t>
            </w:r>
          </w:p>
        </w:tc>
        <w:tc>
          <w:tcPr>
            <w:tcW w:w="2464" w:type="dxa"/>
            <w:vAlign w:val="center"/>
          </w:tcPr>
          <w:p w14:paraId="4DB3CF0F">
            <w:pPr>
              <w:pStyle w:val="8"/>
            </w:pPr>
            <w:r>
              <w:t>副科级</w:t>
            </w:r>
          </w:p>
        </w:tc>
        <w:tc>
          <w:tcPr>
            <w:tcW w:w="2464" w:type="dxa"/>
            <w:vAlign w:val="center"/>
          </w:tcPr>
          <w:p w14:paraId="118ADC6E">
            <w:pPr>
              <w:pStyle w:val="8"/>
            </w:pPr>
            <w:r>
              <w:t>财政性资金基本保证</w:t>
            </w:r>
          </w:p>
        </w:tc>
      </w:tr>
      <w:tr w14:paraId="34DF92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 w14:paraId="19884FD2">
            <w:pPr>
              <w:pStyle w:val="7"/>
            </w:pPr>
            <w:r>
              <w:t>赵县城乡居民社会养老保险管理中心</w:t>
            </w:r>
          </w:p>
        </w:tc>
        <w:tc>
          <w:tcPr>
            <w:tcW w:w="2464" w:type="dxa"/>
            <w:vAlign w:val="center"/>
          </w:tcPr>
          <w:p w14:paraId="59E61AD0">
            <w:pPr>
              <w:pStyle w:val="8"/>
            </w:pPr>
            <w:r>
              <w:t>事业</w:t>
            </w:r>
          </w:p>
        </w:tc>
        <w:tc>
          <w:tcPr>
            <w:tcW w:w="2464" w:type="dxa"/>
            <w:vAlign w:val="center"/>
          </w:tcPr>
          <w:p w14:paraId="5210275D">
            <w:pPr>
              <w:pStyle w:val="8"/>
            </w:pPr>
            <w:r>
              <w:t>副科级</w:t>
            </w:r>
          </w:p>
        </w:tc>
        <w:tc>
          <w:tcPr>
            <w:tcW w:w="2464" w:type="dxa"/>
            <w:vAlign w:val="center"/>
          </w:tcPr>
          <w:p w14:paraId="555EF499">
            <w:pPr>
              <w:pStyle w:val="8"/>
            </w:pPr>
            <w:r>
              <w:t>财政性资金基本保证</w:t>
            </w:r>
          </w:p>
        </w:tc>
      </w:tr>
    </w:tbl>
    <w:p w14:paraId="718ECFA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我部门（含所属单位）</w:t>
      </w:r>
      <w:r>
        <w:rPr>
          <w:rFonts w:hint="eastAsia" w:ascii="仿宋" w:hAnsi="仿宋" w:eastAsia="仿宋"/>
          <w:sz w:val="32"/>
          <w:szCs w:val="32"/>
          <w:lang w:eastAsia="zh-CN"/>
        </w:rPr>
        <w:t>在职人员共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458人，行政人员19人，非参公事业人员439人。</w:t>
      </w:r>
    </w:p>
    <w:p w14:paraId="3E066942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3、资产情况</w:t>
      </w:r>
    </w:p>
    <w:p w14:paraId="25055DC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截至2025年底，我部门固定资产金额为2225.84万元。房屋13509平方米，原值1833.35万元；车辆5辆，原值62.5万元；其他固定资产1341件，原值329.99万元。</w:t>
      </w:r>
    </w:p>
    <w:p w14:paraId="43CE5838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6DEF366F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预算收支安排38829.23万元，其中基本支出1423.48万元，包括人员经费1321.28万元和日常公用经费102.2万元；项目支出37405.75万元。2025年决算收支37210.34万元，其中基本支出4697.34万元，包括人员经费4580.9.万元和日常公用经费116.44万元；项目支出32513.00万元。</w:t>
      </w:r>
    </w:p>
    <w:p w14:paraId="71C9332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FE489E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（1）绩效目标</w:t>
      </w:r>
    </w:p>
    <w:p w14:paraId="596C4EA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1、促进就业创业：实施创业就业服务提升工程，实现城镇新增就业人数达到一定目标，失业人员再就业人数和就业困难人员就业人数达到预期，促进高校毕业生就业创业。</w:t>
      </w:r>
    </w:p>
    <w:p w14:paraId="1874A92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2、加强社会保障：实施“五险”征缴全覆盖工程，确保社会保险参保人数、社会保险基金征缴额等指标达到预期，按时足额发放各项社会保险待遇。</w:t>
      </w:r>
    </w:p>
    <w:p w14:paraId="12FA675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3、推进人事人才工作：实施人事人才管理改革工程，加强人才队伍建设，引进和培养高层次人才，提高人才服务保障水平。</w:t>
      </w:r>
    </w:p>
    <w:p w14:paraId="521C3C4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4、构建和谐劳动关系：实施和谐劳动关系构建工程，加强劳动保障监察，维护劳动者合法权益，促进劳动关系和谐稳定。</w:t>
      </w:r>
    </w:p>
    <w:p w14:paraId="6CB6BA8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5、提升公共服务水平：提升人社公共服务能力，优化服务流程，提高服务效率和质量，增强群众满意度。</w:t>
      </w:r>
    </w:p>
    <w:p w14:paraId="585F788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（2）绩效指标</w:t>
      </w:r>
    </w:p>
    <w:p w14:paraId="6BC9B902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1、产出指标</w:t>
      </w:r>
    </w:p>
    <w:p w14:paraId="00A36AC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数量指标：城镇新增就业人数、失业人员再就业人数、就业困难人员就业人数、高校毕业生享受求职创业补贴比例、补贴基层数量、符合政策规定的高校毕业生享受求职创业补贴比例、企业职工退休人员人数、领取待遇人数、参加资格认证人数等。</w:t>
      </w:r>
    </w:p>
    <w:p w14:paraId="6E1E402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质量指标：补贴发放准确率、补贴资金发放到位率、资金支出合规性、经费支出合规性等。</w:t>
      </w:r>
    </w:p>
    <w:p w14:paraId="30BF1CB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时效指标：资金拨付及时率、项目完成及时性、发放及时率、完成当年工作及时性等。</w:t>
      </w:r>
    </w:p>
    <w:p w14:paraId="780524E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成本指标：项目总成本、预算金额内任务完成率、创业资助补贴标准等。</w:t>
      </w:r>
    </w:p>
    <w:p w14:paraId="375A951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2、效益指标</w:t>
      </w:r>
    </w:p>
    <w:p w14:paraId="53DBE80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经济效益指标：带动就业人数、促进高校毕业生就业状况、保障群众正常生活等。</w:t>
      </w:r>
    </w:p>
    <w:p w14:paraId="24C6125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社会效益指标：社保经办服务水平的提升、社保待遇提高、促进人才发展、维护社会和谐稳定等。</w:t>
      </w:r>
    </w:p>
    <w:p w14:paraId="5D4D5A6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生态效益指标：社会发展保障力，单位人员稳定等。</w:t>
      </w:r>
    </w:p>
    <w:p w14:paraId="1CA52CE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可持续影响指标：对全面建成多层次社会保障体系的影响程度、完善公共服务体系、推动社会保障事业发展、持续发挥乡村振兴人才驿站引才育才和服务人才平台作用等。</w:t>
      </w:r>
    </w:p>
    <w:p w14:paraId="58BE629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3、满意度指标</w:t>
      </w:r>
    </w:p>
    <w:p w14:paraId="4A00677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满意度指标：服务对象满意度、群众满意度、员工满意度、企业退休人员满意度等。</w:t>
      </w:r>
    </w:p>
    <w:p w14:paraId="4DCF6216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53BB940">
      <w:pPr>
        <w:spacing w:line="560" w:lineRule="exact"/>
        <w:ind w:firstLine="640" w:firstLineChars="200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3D2AF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我部门为推进本年度预算绩效评价工作，抽调人员成立绩效评价工作组，由局长尹浩担任组长，成员包括项目主管部门、财务主管部门等主要负责人。</w:t>
      </w:r>
    </w:p>
    <w:p w14:paraId="36ED9CEA">
      <w:pPr>
        <w:spacing w:line="560" w:lineRule="exact"/>
        <w:ind w:firstLine="64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按照通知要求，评价工作组制定自评工作方案，明确评价内容、评价程序及时间安排、组织相关人员召开专题会议，传达自评价工作要求和部署各项工作安排、全面收集评价所需基础信息资料并对资料进行分类整理、审查和分析。</w:t>
      </w:r>
    </w:p>
    <w:p w14:paraId="4CD274F6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1DD34D92">
      <w:pPr>
        <w:spacing w:line="560" w:lineRule="exact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（1）自评方法</w:t>
      </w:r>
    </w:p>
    <w:p w14:paraId="0D7FC1E9">
      <w:pPr>
        <w:spacing w:line="560" w:lineRule="exact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1、科学公正原则。此次绩效自评运用科学合理的方法，按照规范的程序，对我局部门整体预算资金使用绩效进行客观、公正的反映。</w:t>
      </w:r>
    </w:p>
    <w:p w14:paraId="338EF050"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2、统筹兼顾原则。单位自评、部门自评和财政自评应职责明确，各有侧重，相互衔接，绩效自评结果将上报财政部门作为财政自评参考依据。</w:t>
      </w:r>
    </w:p>
    <w:p w14:paraId="58048076">
      <w:pPr>
        <w:spacing w:line="560" w:lineRule="exact"/>
        <w:ind w:firstLine="64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3、激励约束原则。此次绩效自评结果与预算安排、政策调整、改进管理实质性挂钩，体现奖优罚劣和激励相容导向，有效安排、低效减压、无效问责。</w:t>
      </w:r>
    </w:p>
    <w:p w14:paraId="16A470C8">
      <w:pPr>
        <w:spacing w:line="560" w:lineRule="exact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4、公开透明原则。此次绩效自评结果应依法依规在政府门户进行公开，并自觉接受社会监督。</w:t>
      </w:r>
    </w:p>
    <w:p w14:paraId="1B3FCD5E">
      <w:pPr>
        <w:spacing w:line="560" w:lineRule="exact"/>
        <w:ind w:firstLine="64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（2）自评过程</w:t>
      </w:r>
    </w:p>
    <w:p w14:paraId="2C0D679D">
      <w:pPr>
        <w:spacing w:line="560" w:lineRule="exact"/>
        <w:ind w:firstLine="64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次绩效自评将资金使用产出及效果与年初指标值相比较，对完成值低于指标值较多的项目，分析其形成原因，针对评价过程中发现的问题进一步提出相关意见建议，为以后年度我部门履行部门职责作出更好的预算管理和资金安排。</w:t>
      </w:r>
    </w:p>
    <w:p w14:paraId="4AD83208">
      <w:pPr>
        <w:spacing w:line="560" w:lineRule="exact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1B8D7CC3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ABF98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2025年度，本部门严格按照年初预算绩效文本设定的总体目标开展各项工作，围绕部门职能履行、财政资金使用、公共服务提升等方向，统筹推进年度重点任务与日常运转工作。全年预算执行规范有序，各项绩效指标完成情况良好。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</w:p>
    <w:p w14:paraId="0044EF8A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51A52108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（1）就业更加充分质量更高</w:t>
      </w:r>
    </w:p>
    <w:p w14:paraId="6BAFDD5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县就业规模持续扩大，就业结构更加合理，化解过剩产能职工得到有效安置，同意规范灵活的人力资源市场体系基本形成，公共就业创业服务能力有效提升，人力资源开发和职业技能培训水平明显提高，就业局势保持总体稳定。</w:t>
      </w:r>
    </w:p>
    <w:p w14:paraId="5C511EA9">
      <w:pPr>
        <w:numPr>
          <w:ilvl w:val="0"/>
          <w:numId w:val="4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社会保障体系更加完善更加持续</w:t>
      </w:r>
    </w:p>
    <w:p w14:paraId="1C5E5E4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推进社会保障制度改革，社会保障制度更加完善，基本实现法定人员全覆盖，建立社会保障待遇正常调整机制，稳定提高保障水平，确保基金安全可持续进行，经办管理服务规范高效。</w:t>
      </w:r>
    </w:p>
    <w:p w14:paraId="1A545846"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人才总体水平进一步提升</w:t>
      </w:r>
    </w:p>
    <w:p w14:paraId="6835A97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人才制度改革持续深化，人才发展环境进一步优化，人才活力进一步激发，已高层次、高技能人才为重点的人才队伍规模不断扩大、素质不断提高、结构不断优化，为经济社会发展提供有力人才保障和智力支撑。</w:t>
      </w:r>
    </w:p>
    <w:p w14:paraId="54677826"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人事工资制度改革进一步深化</w:t>
      </w:r>
    </w:p>
    <w:p w14:paraId="254695E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贯彻执行《事业单位人事管理条例》，形成符合事业单位特点、规范有序、充满活力的人事管理制度，人员调配政策体系进一步完善。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拟订人才工作有关目标并做好相关实施工作，参与全县人才工作的指导、组织、协调和管理，承办有关人才工作。会同有关部门做好市场化、社会化的人才管理服务体系建设工作。负责人才分类评价机制推进实施，牵头推进全县深化职称制度改革，综合管理全县职称工作。</w:t>
      </w:r>
    </w:p>
    <w:p w14:paraId="4DD7488F"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劳动关系和谐稳定</w:t>
      </w:r>
    </w:p>
    <w:p w14:paraId="32C1D57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持续深化劳动保障监察“两网化”监管，将工作重心前移，加强劳动合同及用工备案的管理，把全面治理拖欠农民工工资作为全年常抓不懈的重点工作，充分发挥保农办职能，加强部门执法合作，采取联合检查、联合办案、联合督查等方式，从源头上遏制拖欠农民工工资案件的发生。</w:t>
      </w:r>
    </w:p>
    <w:p w14:paraId="5DEC26E2">
      <w:pPr>
        <w:numPr>
          <w:ilvl w:val="0"/>
          <w:numId w:val="4"/>
        </w:numPr>
        <w:adjustRightInd w:val="0"/>
        <w:snapToGrid w:val="0"/>
        <w:spacing w:line="560" w:lineRule="exact"/>
        <w:ind w:left="0" w:leftChars="0"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基本公共服务能力显著提升</w:t>
      </w:r>
    </w:p>
    <w:p w14:paraId="3D4ADEB4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全面开展人社服务快办行动，推进公共服务标准化，智能化，加快实现全县人社业务一门一窗办理；全面梳理人社公共服务事项，编制事项清单，服务指南和工作手册，实施全县人社业务综合柜员制改革。</w:t>
      </w:r>
    </w:p>
    <w:p w14:paraId="6992189C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E4472FB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571DFF60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经过整体评价，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我部门2025年部门整体绩效自评得分98.32分，评价等级为“优”。</w:t>
      </w:r>
    </w:p>
    <w:p w14:paraId="60D03354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308CC722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390378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1、预算绩效目标设置不完善。个别绩效目标不够完善，不能完善清晰体现工作活动的产出和效果，依据绩效目标所设置的绩效指标不够细化，不能完整清晰的反映活动目标完成情况。</w:t>
      </w:r>
    </w:p>
    <w:p w14:paraId="3F296BC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2、预算执行进度不均衡。存在预算执行前期进度缓慢，后期集中支付的情况，不利于资金的有效利用和工作的顺利推进。</w:t>
      </w:r>
    </w:p>
    <w:p w14:paraId="51C60867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3、宣传力度不够。社保政策宣传的深度和广度不够，部分参保群众对社保政策的知晓度不高，影响参保积极性和政策落实效果。</w:t>
      </w:r>
    </w:p>
    <w:p w14:paraId="7FEBF9C4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0E362D03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1、科学设定绩效目标和指标</w:t>
      </w:r>
    </w:p>
    <w:p w14:paraId="1F0BDFA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预算部门应加强绩效目标的设定，将绩效目标做实，做到项目绩效目标全覆盖，最终实现部门整体绩效目标全覆盖，同时在设定绩效指标值注意细化量化，便于对项目进行监控和考核。在实际操作中，应建立全面规范的绩效指标体系，依据部门职责和年度工作重点，设定科学、合理、可行的年度绩效目标、绩效指标。</w:t>
      </w:r>
    </w:p>
    <w:p w14:paraId="729599EB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2、加强预算执行监控</w:t>
      </w:r>
    </w:p>
    <w:p w14:paraId="1939857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建立预算执行动态监控机制，定期对预算执行情况进行分析和评估，及时发现和解决预算执行过程中出现的问题，确保预算执行进度均衡、合理。</w:t>
      </w:r>
    </w:p>
    <w:p w14:paraId="07A099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3、提升宣传水平</w:t>
      </w:r>
    </w:p>
    <w:p w14:paraId="18ED63DD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加大宣传力度，制定详细的宣传计划，充分利用各种媒体和渠道，广泛宣传社保政策，提高参保群众的政策知晓度和参保积极性。</w:t>
      </w:r>
    </w:p>
    <w:p w14:paraId="0D98B396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</w:t>
      </w:r>
    </w:p>
    <w:p w14:paraId="112077FD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长：尹  浩 人社局局长</w:t>
      </w:r>
    </w:p>
    <w:p w14:paraId="67156A93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副组长：赵  冉 人社局人才开发交流中心主任</w:t>
      </w:r>
    </w:p>
    <w:p w14:paraId="515B2A1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副组长：杨利卿 人才保障服务中心主任</w:t>
      </w:r>
    </w:p>
    <w:p w14:paraId="17389B36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副组长：秦红伟 就业服务中心主任</w:t>
      </w:r>
    </w:p>
    <w:p w14:paraId="5DE609CA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副组长：魏浩磊 社保中心主任</w:t>
      </w:r>
    </w:p>
    <w:p w14:paraId="183EC408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员：靳玉杰 人社局工资福利股负责人</w:t>
      </w:r>
    </w:p>
    <w:p w14:paraId="6CE8701D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员：李世勇 人社局办公室负责人</w:t>
      </w:r>
    </w:p>
    <w:p w14:paraId="5A24E77D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员：李建勇 社保中心副主任</w:t>
      </w:r>
    </w:p>
    <w:p w14:paraId="50EE7F75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员：任永昌 社保中心副主任</w:t>
      </w:r>
    </w:p>
    <w:p w14:paraId="22234F8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员：李晓松 社保中心副主任</w:t>
      </w:r>
    </w:p>
    <w:p w14:paraId="3742EAB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员：安  宁 就业服务中心副主任</w:t>
      </w:r>
    </w:p>
    <w:p w14:paraId="002C0D8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组  员：米  涛 就业服务中心财务股股长</w:t>
      </w:r>
    </w:p>
    <w:p w14:paraId="4DB74F48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DC9FC6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7A1F6CF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52369B3"/>
    <w:multiLevelType w:val="singleLevel"/>
    <w:tmpl w:val="D52369B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640A110D"/>
    <w:multiLevelType w:val="singleLevel"/>
    <w:tmpl w:val="640A110D"/>
    <w:lvl w:ilvl="0" w:tentative="0">
      <w:start w:val="2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2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3CA7BFD"/>
    <w:rsid w:val="046F331E"/>
    <w:rsid w:val="07956271"/>
    <w:rsid w:val="09721397"/>
    <w:rsid w:val="0BB63BED"/>
    <w:rsid w:val="0EB97A43"/>
    <w:rsid w:val="0EBD2122"/>
    <w:rsid w:val="0F214EAE"/>
    <w:rsid w:val="11B71E6A"/>
    <w:rsid w:val="13D10DE5"/>
    <w:rsid w:val="17A871CC"/>
    <w:rsid w:val="18F12C99"/>
    <w:rsid w:val="1AAF0063"/>
    <w:rsid w:val="1BD8054A"/>
    <w:rsid w:val="1BE140DE"/>
    <w:rsid w:val="1CA35BB0"/>
    <w:rsid w:val="1D491BD5"/>
    <w:rsid w:val="1E025791"/>
    <w:rsid w:val="1E773775"/>
    <w:rsid w:val="248C197D"/>
    <w:rsid w:val="252959AF"/>
    <w:rsid w:val="274C6EE9"/>
    <w:rsid w:val="277A6671"/>
    <w:rsid w:val="279D6509"/>
    <w:rsid w:val="281A529E"/>
    <w:rsid w:val="292D35B7"/>
    <w:rsid w:val="2A8B3997"/>
    <w:rsid w:val="2BF11F1F"/>
    <w:rsid w:val="2F776BDF"/>
    <w:rsid w:val="31401D54"/>
    <w:rsid w:val="33BE166D"/>
    <w:rsid w:val="33EB6CFF"/>
    <w:rsid w:val="35A12947"/>
    <w:rsid w:val="36090618"/>
    <w:rsid w:val="37387040"/>
    <w:rsid w:val="3A03179B"/>
    <w:rsid w:val="3A7C2BAF"/>
    <w:rsid w:val="3B625C0A"/>
    <w:rsid w:val="3CEE1963"/>
    <w:rsid w:val="3D2E76D6"/>
    <w:rsid w:val="3EDA4595"/>
    <w:rsid w:val="41653AC2"/>
    <w:rsid w:val="41FB71FC"/>
    <w:rsid w:val="436B78D3"/>
    <w:rsid w:val="46454EEA"/>
    <w:rsid w:val="47573126"/>
    <w:rsid w:val="48C041D6"/>
    <w:rsid w:val="4C9C27FE"/>
    <w:rsid w:val="4DEF5972"/>
    <w:rsid w:val="50AC6291"/>
    <w:rsid w:val="512260B4"/>
    <w:rsid w:val="519032CB"/>
    <w:rsid w:val="52BD6ACB"/>
    <w:rsid w:val="54F62E7F"/>
    <w:rsid w:val="55537534"/>
    <w:rsid w:val="561A74F1"/>
    <w:rsid w:val="59302736"/>
    <w:rsid w:val="597244E8"/>
    <w:rsid w:val="599C7DE4"/>
    <w:rsid w:val="5B733E48"/>
    <w:rsid w:val="5CA1023B"/>
    <w:rsid w:val="5E4656D1"/>
    <w:rsid w:val="5EB71C30"/>
    <w:rsid w:val="61E043F0"/>
    <w:rsid w:val="61F635C5"/>
    <w:rsid w:val="632E4917"/>
    <w:rsid w:val="66AF0CE5"/>
    <w:rsid w:val="688C48DF"/>
    <w:rsid w:val="6AC537CF"/>
    <w:rsid w:val="6BAE4D9E"/>
    <w:rsid w:val="6BCB63A3"/>
    <w:rsid w:val="6E5B14A6"/>
    <w:rsid w:val="7007308C"/>
    <w:rsid w:val="711B255E"/>
    <w:rsid w:val="74202A96"/>
    <w:rsid w:val="747E0535"/>
    <w:rsid w:val="7BB51E06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7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8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4794</Words>
  <Characters>4927</Characters>
  <Lines>4</Lines>
  <Paragraphs>1</Paragraphs>
  <TotalTime>0</TotalTime>
  <ScaleCrop>false</ScaleCrop>
  <LinksUpToDate>false</LinksUpToDate>
  <CharactersWithSpaces>4964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2026-04-21T02:27:00Z</cp:lastPrinted>
  <dcterms:modified xsi:type="dcterms:W3CDTF">2026-05-12T07:10:32Z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eyJoZGlkIjoiY2Q1YmEwODljMjhlMDViZDY2ZTI0MGM5YzhhNmYyYzUiLCJ1c2VySWQiOiIxNTUwMjQwMDk2In0=</vt:lpwstr>
  </property>
</Properties>
</file>