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66FE8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5F83471B">
      <w:pPr>
        <w:spacing w:line="560" w:lineRule="exact"/>
        <w:jc w:val="center"/>
        <w:rPr>
          <w:rFonts w:ascii="宋体" w:hAnsi="宋体" w:cs="宋体"/>
          <w:b/>
          <w:bCs/>
          <w:sz w:val="44"/>
          <w:szCs w:val="44"/>
        </w:rPr>
      </w:pPr>
    </w:p>
    <w:p w14:paraId="4230D733">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新寨店镇人民政府</w:t>
      </w:r>
    </w:p>
    <w:p w14:paraId="14A33C9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64904D8">
      <w:pPr>
        <w:spacing w:line="560" w:lineRule="exact"/>
        <w:jc w:val="center"/>
        <w:rPr>
          <w:rFonts w:ascii="华文楷体" w:eastAsia="华文楷体"/>
          <w:sz w:val="32"/>
          <w:szCs w:val="32"/>
        </w:rPr>
      </w:pPr>
    </w:p>
    <w:p w14:paraId="09B5C318">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贯彻落实县委、县政府《全面落实预算绩效管理的实施意见》（[2019]77）文件精神，遵循“科学性、规范性、客观性和公正性”的原则，对</w:t>
      </w:r>
      <w:r>
        <w:rPr>
          <w:rFonts w:hint="eastAsia" w:ascii="仿宋" w:hAnsi="仿宋" w:eastAsia="仿宋" w:cs="仿宋"/>
          <w:sz w:val="32"/>
          <w:szCs w:val="32"/>
          <w:lang w:val="en-US" w:eastAsia="zh-CN"/>
        </w:rPr>
        <w:t>新寨店镇政府</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年整体支出情况实施了财政支出绩效自评价，形成本评价报告。</w:t>
      </w:r>
    </w:p>
    <w:p w14:paraId="1332461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7E82A1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A42CF7E">
      <w:pPr>
        <w:snapToGrid w:val="0"/>
        <w:spacing w:line="520" w:lineRule="exact"/>
        <w:ind w:firstLine="640" w:firstLineChars="200"/>
        <w:rPr>
          <w:rFonts w:hint="eastAsia" w:ascii="仿宋" w:hAnsi="仿宋" w:eastAsia="仿宋" w:cs="仿宋"/>
          <w:sz w:val="32"/>
          <w:szCs w:val="32"/>
        </w:rPr>
      </w:pPr>
      <w:r>
        <w:rPr>
          <w:rFonts w:hint="eastAsia" w:ascii="仿宋_GB2312" w:hAnsi="仿宋" w:eastAsia="仿宋_GB2312" w:cs="Times New Roman"/>
          <w:sz w:val="32"/>
          <w:szCs w:val="32"/>
        </w:rPr>
        <w:t>1．</w:t>
      </w:r>
      <w:r>
        <w:rPr>
          <w:rFonts w:hint="eastAsia" w:ascii="仿宋" w:hAnsi="仿宋" w:eastAsia="仿宋" w:cs="仿宋"/>
          <w:sz w:val="32"/>
          <w:szCs w:val="32"/>
        </w:rPr>
        <w:t>主要职能。</w:t>
      </w:r>
    </w:p>
    <w:p w14:paraId="07ADEF03">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rPr>
        <w:t>促进经济发展</w:t>
      </w:r>
    </w:p>
    <w:p w14:paraId="05C680B6">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搞好本镇产业规划，</w:t>
      </w:r>
      <w:r>
        <w:rPr>
          <w:rFonts w:hint="eastAsia" w:ascii="仿宋" w:hAnsi="仿宋" w:eastAsia="仿宋" w:cs="仿宋"/>
          <w:sz w:val="32"/>
          <w:szCs w:val="32"/>
          <w:lang w:val="en-US" w:eastAsia="zh-CN"/>
        </w:rPr>
        <w:t>发展工业园区招商引资</w:t>
      </w:r>
      <w:r>
        <w:rPr>
          <w:rFonts w:hint="eastAsia" w:ascii="仿宋" w:hAnsi="仿宋" w:eastAsia="仿宋" w:cs="仿宋"/>
          <w:sz w:val="32"/>
          <w:szCs w:val="32"/>
        </w:rPr>
        <w:t>，加强工业经济管理，大力发展第二、第三产业，配合民政、农口等部门做好服务工作。</w:t>
      </w:r>
    </w:p>
    <w:p w14:paraId="2ABD9FED">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加强社会管理</w:t>
      </w:r>
    </w:p>
    <w:p w14:paraId="4AEB2F3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加强</w:t>
      </w:r>
      <w:r>
        <w:rPr>
          <w:rFonts w:hint="eastAsia" w:ascii="仿宋" w:hAnsi="仿宋" w:eastAsia="仿宋" w:cs="仿宋"/>
          <w:sz w:val="32"/>
          <w:szCs w:val="32"/>
          <w:lang w:eastAsia="zh-CN"/>
        </w:rPr>
        <w:t>镇</w:t>
      </w:r>
      <w:r>
        <w:rPr>
          <w:rFonts w:hint="eastAsia" w:ascii="仿宋" w:hAnsi="仿宋" w:eastAsia="仿宋" w:cs="仿宋"/>
          <w:sz w:val="32"/>
          <w:szCs w:val="32"/>
        </w:rPr>
        <w:t>村财政资金监督管理，</w:t>
      </w:r>
      <w:r>
        <w:rPr>
          <w:rFonts w:hint="eastAsia" w:ascii="仿宋" w:hAnsi="仿宋" w:eastAsia="仿宋" w:cs="仿宋"/>
          <w:sz w:val="32"/>
          <w:szCs w:val="32"/>
          <w:lang w:val="en-US" w:eastAsia="zh-CN"/>
        </w:rPr>
        <w:t>发展工业园区招商引资，</w:t>
      </w:r>
      <w:r>
        <w:rPr>
          <w:rFonts w:hint="eastAsia" w:ascii="仿宋" w:hAnsi="仿宋" w:eastAsia="仿宋" w:cs="仿宋"/>
          <w:sz w:val="32"/>
          <w:szCs w:val="32"/>
        </w:rPr>
        <w:t>做好人口和计划生育管理工作，加强农村基层组织建设，加强农村精神文明建设和生态文明村建设，做好安全生产监督管理工作，做好征兵工作及民兵工作，做好环境保护，完善道路硬化。</w:t>
      </w:r>
    </w:p>
    <w:p w14:paraId="1AE67B8F">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rPr>
        <w:t>提供公共服务</w:t>
      </w:r>
    </w:p>
    <w:p w14:paraId="6D85B174">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组织</w:t>
      </w:r>
      <w:r>
        <w:rPr>
          <w:rFonts w:hint="eastAsia" w:ascii="仿宋" w:hAnsi="仿宋" w:eastAsia="仿宋" w:cs="仿宋"/>
          <w:sz w:val="32"/>
          <w:szCs w:val="32"/>
          <w:lang w:eastAsia="zh-CN"/>
        </w:rPr>
        <w:t>镇</w:t>
      </w:r>
      <w:r>
        <w:rPr>
          <w:rFonts w:hint="eastAsia" w:ascii="仿宋" w:hAnsi="仿宋" w:eastAsia="仿宋" w:cs="仿宋"/>
          <w:sz w:val="32"/>
          <w:szCs w:val="32"/>
        </w:rPr>
        <w:t>村公共基础设施建设，推行和完善新型合作医疗制度，加强农村食品药品安全监管，做好农村扶贫和低保工作以及特困户救助和残疾人服务工作，做好社会保障工作。</w:t>
      </w:r>
    </w:p>
    <w:p w14:paraId="63DE4CF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rPr>
        <w:t>维护农村稳定</w:t>
      </w:r>
    </w:p>
    <w:p w14:paraId="00FDF958">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宣传贯彻国家法律法规和政策，打击邪教，排查农村矛盾纠纷，处理突发性、群体性事件。</w:t>
      </w:r>
    </w:p>
    <w:p w14:paraId="33CA0A2A">
      <w:pPr>
        <w:numPr>
          <w:ilvl w:val="0"/>
          <w:numId w:val="0"/>
        </w:num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机构情况。</w:t>
      </w:r>
    </w:p>
    <w:tbl>
      <w:tblPr>
        <w:tblStyle w:val="8"/>
        <w:tblpPr w:leftFromText="180" w:rightFromText="180" w:vertAnchor="text" w:horzAnchor="page" w:tblpX="2010" w:tblpY="418"/>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90"/>
        <w:gridCol w:w="1590"/>
        <w:gridCol w:w="1545"/>
        <w:gridCol w:w="1215"/>
      </w:tblGrid>
      <w:tr w14:paraId="0CBE2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0" w:hRule="atLeast"/>
        </w:trPr>
        <w:tc>
          <w:tcPr>
            <w:tcW w:w="3790" w:type="dxa"/>
            <w:noWrap w:val="0"/>
            <w:vAlign w:val="center"/>
          </w:tcPr>
          <w:p w14:paraId="7D5F4D31">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单位名称</w:t>
            </w:r>
          </w:p>
        </w:tc>
        <w:tc>
          <w:tcPr>
            <w:tcW w:w="1590" w:type="dxa"/>
            <w:noWrap w:val="0"/>
            <w:vAlign w:val="center"/>
          </w:tcPr>
          <w:p w14:paraId="37DDE709">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单位</w:t>
            </w:r>
          </w:p>
          <w:p w14:paraId="12636534">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性质</w:t>
            </w:r>
          </w:p>
        </w:tc>
        <w:tc>
          <w:tcPr>
            <w:tcW w:w="1545" w:type="dxa"/>
            <w:noWrap w:val="0"/>
            <w:vAlign w:val="center"/>
          </w:tcPr>
          <w:p w14:paraId="06EB62C8">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单位</w:t>
            </w:r>
          </w:p>
          <w:p w14:paraId="4E6F4CE0">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规格</w:t>
            </w:r>
          </w:p>
        </w:tc>
        <w:tc>
          <w:tcPr>
            <w:tcW w:w="1215" w:type="dxa"/>
            <w:noWrap w:val="0"/>
            <w:vAlign w:val="center"/>
          </w:tcPr>
          <w:p w14:paraId="3421E8D0">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经费保障</w:t>
            </w:r>
          </w:p>
          <w:p w14:paraId="7473786C">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形式</w:t>
            </w:r>
          </w:p>
        </w:tc>
      </w:tr>
      <w:tr w14:paraId="45760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trPr>
        <w:tc>
          <w:tcPr>
            <w:tcW w:w="3790" w:type="dxa"/>
            <w:noWrap w:val="0"/>
            <w:vAlign w:val="center"/>
          </w:tcPr>
          <w:p w14:paraId="117C592C">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赵县新寨店镇人民政府</w:t>
            </w:r>
          </w:p>
        </w:tc>
        <w:tc>
          <w:tcPr>
            <w:tcW w:w="1590" w:type="dxa"/>
            <w:noWrap w:val="0"/>
            <w:vAlign w:val="center"/>
          </w:tcPr>
          <w:p w14:paraId="2F05A01F">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行政</w:t>
            </w:r>
          </w:p>
        </w:tc>
        <w:tc>
          <w:tcPr>
            <w:tcW w:w="1545" w:type="dxa"/>
            <w:noWrap w:val="0"/>
            <w:vAlign w:val="center"/>
          </w:tcPr>
          <w:p w14:paraId="45A8A891">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正科级</w:t>
            </w:r>
          </w:p>
        </w:tc>
        <w:tc>
          <w:tcPr>
            <w:tcW w:w="1215" w:type="dxa"/>
            <w:noWrap w:val="0"/>
            <w:vAlign w:val="center"/>
          </w:tcPr>
          <w:p w14:paraId="1A6C1E70">
            <w:pPr>
              <w:snapToGrid w:val="0"/>
              <w:spacing w:line="520" w:lineRule="exact"/>
              <w:ind w:firstLine="640" w:firstLineChars="200"/>
              <w:rPr>
                <w:rFonts w:hint="eastAsia" w:ascii="仿宋_GB2312" w:hAnsi="仿宋" w:eastAsia="仿宋_GB2312" w:cs="Times New Roman"/>
                <w:sz w:val="32"/>
                <w:szCs w:val="32"/>
                <w:lang w:val="en-US" w:eastAsia="zh-CN"/>
              </w:rPr>
            </w:pPr>
            <w:r>
              <w:rPr>
                <w:rFonts w:hint="eastAsia" w:ascii="仿宋_GB2312" w:hAnsi="仿宋" w:eastAsia="仿宋_GB2312" w:cs="Times New Roman"/>
                <w:sz w:val="32"/>
                <w:szCs w:val="32"/>
                <w:lang w:val="en-US" w:eastAsia="zh-CN"/>
              </w:rPr>
              <w:t>财政拨款</w:t>
            </w:r>
          </w:p>
        </w:tc>
      </w:tr>
    </w:tbl>
    <w:p w14:paraId="5883BED2">
      <w:pPr>
        <w:snapToGrid w:val="0"/>
        <w:spacing w:line="520" w:lineRule="exact"/>
        <w:ind w:firstLine="640" w:firstLineChars="200"/>
        <w:rPr>
          <w:rFonts w:hint="eastAsia" w:ascii="仿宋" w:hAnsi="仿宋" w:eastAsia="仿宋" w:cs="仿宋"/>
          <w:sz w:val="32"/>
          <w:szCs w:val="32"/>
        </w:rPr>
      </w:pPr>
      <w:r>
        <w:rPr>
          <w:rFonts w:hint="eastAsia" w:ascii="仿宋_GB2312" w:hAnsi="仿宋" w:eastAsia="仿宋_GB2312" w:cs="Times New Roman"/>
          <w:sz w:val="32"/>
          <w:szCs w:val="32"/>
          <w:lang w:val="en-US" w:eastAsia="zh-CN"/>
        </w:rPr>
        <w:t>3、</w:t>
      </w:r>
      <w:r>
        <w:rPr>
          <w:rFonts w:hint="eastAsia" w:ascii="仿宋" w:hAnsi="仿宋" w:eastAsia="仿宋" w:cs="仿宋"/>
          <w:sz w:val="32"/>
          <w:szCs w:val="32"/>
        </w:rPr>
        <w:t>人员情况。</w:t>
      </w:r>
    </w:p>
    <w:p w14:paraId="7A2603A2">
      <w:pPr>
        <w:snapToGrid w:val="0"/>
        <w:spacing w:line="52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截至</w:t>
      </w:r>
      <w:bookmarkStart w:id="0" w:name="_GoBack"/>
      <w:bookmarkEnd w:id="0"/>
      <w:r>
        <w:rPr>
          <w:rFonts w:hint="eastAsia" w:ascii="仿宋" w:hAnsi="仿宋" w:eastAsia="仿宋" w:cs="仿宋"/>
          <w:sz w:val="32"/>
          <w:szCs w:val="32"/>
          <w:lang w:val="en-US" w:eastAsia="zh-CN"/>
        </w:rPr>
        <w:t>2025年底，年末实有人数61人，其中行政编人数39人、非参公事业人员22人。</w:t>
      </w:r>
    </w:p>
    <w:p w14:paraId="78DE6142">
      <w:pPr>
        <w:pStyle w:val="6"/>
        <w:numPr>
          <w:ilvl w:val="0"/>
          <w:numId w:val="1"/>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资产情况。</w:t>
      </w:r>
    </w:p>
    <w:p w14:paraId="183B1C90">
      <w:pPr>
        <w:pStyle w:val="6"/>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赵县新寨店镇人民政府年末固定资产金额为 1461.18 万元,其中：房屋9681.50平方米，办公用房451.40平方米，房屋总价值932.24万元；车辆5台，价值49.69万元；其他固定资产479.25万元。</w:t>
      </w:r>
    </w:p>
    <w:p w14:paraId="46349A14">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部门收支预算情况</w:t>
      </w:r>
    </w:p>
    <w:p w14:paraId="14844734">
      <w:pPr>
        <w:numPr>
          <w:ilvl w:val="0"/>
          <w:numId w:val="0"/>
        </w:numPr>
        <w:adjustRightInd w:val="0"/>
        <w:snapToGrid w:val="0"/>
        <w:spacing w:line="560" w:lineRule="exact"/>
        <w:ind w:firstLine="640" w:firstLineChars="200"/>
        <w:rPr>
          <w:rFonts w:hint="eastAsia" w:ascii="仿宋" w:hAnsi="仿宋" w:eastAsia="仿宋" w:cs="仿宋"/>
          <w:bCs/>
          <w:sz w:val="32"/>
          <w:szCs w:val="32"/>
        </w:rPr>
      </w:pPr>
      <w:r>
        <w:rPr>
          <w:rFonts w:hint="eastAsia" w:ascii="仿宋" w:hAnsi="仿宋" w:eastAsia="仿宋" w:cs="仿宋"/>
          <w:sz w:val="32"/>
          <w:szCs w:val="32"/>
          <w:lang w:val="en-US" w:eastAsia="zh-CN"/>
        </w:rPr>
        <w:t>2025年收入支出预算安排2140.13万元，其中基本支出873.60万元。（其中：人员经费715.70万元、日常公用经费157.89万元）项目支出1266.52万元。</w:t>
      </w:r>
    </w:p>
    <w:p w14:paraId="45F86C85">
      <w:pPr>
        <w:pStyle w:val="2"/>
        <w:rPr>
          <w:rFonts w:hint="eastAsia"/>
        </w:rPr>
      </w:pPr>
    </w:p>
    <w:p w14:paraId="504CEA2C">
      <w:pPr>
        <w:pStyle w:val="2"/>
        <w:numPr>
          <w:ilvl w:val="0"/>
          <w:numId w:val="0"/>
        </w:numPr>
        <w:rPr>
          <w:rFonts w:hint="default" w:eastAsia="宋体"/>
          <w:lang w:val="en-US" w:eastAsia="zh-CN"/>
        </w:rPr>
      </w:pPr>
      <w:r>
        <w:rPr>
          <w:rFonts w:hint="eastAsia"/>
          <w:lang w:val="en-US" w:eastAsia="zh-CN"/>
        </w:rPr>
        <w:t xml:space="preserve">    </w:t>
      </w:r>
    </w:p>
    <w:p w14:paraId="06ECC84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楷体" w:hAnsi="楷体" w:eastAsia="楷体" w:cs="楷体_GB2312"/>
          <w:bCs/>
          <w:sz w:val="32"/>
          <w:szCs w:val="32"/>
        </w:rPr>
      </w:pPr>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三</w:t>
      </w:r>
      <w:r>
        <w:rPr>
          <w:rFonts w:hint="eastAsia" w:ascii="楷体" w:hAnsi="楷体" w:eastAsia="楷体" w:cs="楷体_GB2312"/>
          <w:bCs/>
          <w:sz w:val="32"/>
          <w:szCs w:val="32"/>
          <w:lang w:eastAsia="zh-CN"/>
        </w:rPr>
        <w:t>）</w:t>
      </w:r>
      <w:r>
        <w:rPr>
          <w:rFonts w:hint="eastAsia" w:ascii="楷体" w:hAnsi="楷体" w:eastAsia="楷体" w:cs="楷体_GB2312"/>
          <w:bCs/>
          <w:sz w:val="32"/>
          <w:szCs w:val="32"/>
        </w:rPr>
        <w:t>部门整体支出绩效目标、指标</w:t>
      </w:r>
    </w:p>
    <w:p w14:paraId="0ECD85B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highlight w:val="none"/>
          <w:lang w:val="en-US" w:eastAsia="zh-CN"/>
        </w:rPr>
        <w:t>2025年以来镇党委、镇政府在县委、县政府的坚强领导下，凝心聚力，攻坚克难，</w:t>
      </w:r>
      <w:r>
        <w:rPr>
          <w:rFonts w:hint="eastAsia" w:ascii="仿宋" w:hAnsi="仿宋" w:eastAsia="仿宋" w:cs="仿宋"/>
          <w:sz w:val="32"/>
          <w:szCs w:val="32"/>
          <w:lang w:val="en-US" w:eastAsia="zh-CN"/>
        </w:rPr>
        <w:t>各项工作稳中求进，整体呈现出积极向上的精神风貌</w:t>
      </w:r>
      <w:r>
        <w:rPr>
          <w:rFonts w:hint="eastAsia" w:ascii="仿宋" w:hAnsi="仿宋" w:eastAsia="仿宋" w:cs="仿宋"/>
          <w:sz w:val="32"/>
          <w:szCs w:val="32"/>
          <w:highlight w:val="none"/>
          <w:lang w:val="en-US" w:eastAsia="zh-CN"/>
        </w:rPr>
        <w:t>。</w:t>
      </w:r>
    </w:p>
    <w:p w14:paraId="4C804CD0">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新寨店镇人民政府充分发挥政府职能作用，履职活动期间各项工作按计划保质保量完成，2025年认真落实全面从严治党责任，深化党风廉政建设和作风整顿，重新修订多项制度，积极抓好事务、做好服务，以促进赵县经济和社会事业全面发展，镇区税收增产均达到项目预期目标。</w:t>
      </w:r>
    </w:p>
    <w:p w14:paraId="2C34B1B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92520AD">
      <w:pPr>
        <w:spacing w:line="560" w:lineRule="exact"/>
        <w:rPr>
          <w:rFonts w:hint="eastAsia" w:ascii="仿宋" w:hAnsi="仿宋" w:eastAsia="仿宋" w:cs="仿宋"/>
          <w:sz w:val="32"/>
          <w:szCs w:val="32"/>
        </w:rPr>
      </w:pPr>
      <w:r>
        <w:rPr>
          <w:rFonts w:hint="eastAsia" w:ascii="仿宋" w:hAnsi="仿宋" w:eastAsia="仿宋" w:cs="楷体_GB2312"/>
          <w:b/>
          <w:bCs/>
          <w:sz w:val="32"/>
          <w:szCs w:val="32"/>
        </w:rPr>
        <w:t xml:space="preserve">    </w:t>
      </w:r>
      <w:r>
        <w:rPr>
          <w:rFonts w:hint="eastAsia" w:ascii="仿宋" w:hAnsi="仿宋" w:eastAsia="仿宋" w:cs="仿宋"/>
          <w:bCs/>
          <w:sz w:val="32"/>
          <w:szCs w:val="32"/>
        </w:rPr>
        <w:t>（一）自评的组织工作</w:t>
      </w:r>
    </w:p>
    <w:p w14:paraId="5953AA43">
      <w:pPr>
        <w:pStyle w:val="2"/>
        <w:ind w:firstLine="640" w:firstLineChars="200"/>
        <w:rPr>
          <w:rFonts w:ascii="仿宋" w:hAnsi="仿宋" w:eastAsia="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年我镇项目安排资金</w:t>
      </w:r>
      <w:r>
        <w:rPr>
          <w:rFonts w:hint="eastAsia" w:ascii="仿宋" w:hAnsi="仿宋" w:eastAsia="仿宋" w:cs="仿宋"/>
          <w:sz w:val="32"/>
          <w:szCs w:val="32"/>
          <w:lang w:val="en-US" w:eastAsia="zh-CN"/>
        </w:rPr>
        <w:t>1266.52</w:t>
      </w:r>
      <w:r>
        <w:rPr>
          <w:rFonts w:hint="eastAsia" w:ascii="仿宋" w:hAnsi="仿宋" w:eastAsia="仿宋" w:cs="仿宋"/>
          <w:sz w:val="32"/>
          <w:szCs w:val="32"/>
        </w:rPr>
        <w:t>万元，已支出</w:t>
      </w:r>
      <w:r>
        <w:rPr>
          <w:rFonts w:hint="eastAsia" w:ascii="仿宋" w:hAnsi="仿宋" w:eastAsia="仿宋" w:cs="仿宋"/>
          <w:sz w:val="32"/>
          <w:szCs w:val="32"/>
          <w:lang w:val="en-US" w:eastAsia="zh-CN"/>
        </w:rPr>
        <w:t>1266.52</w:t>
      </w:r>
      <w:r>
        <w:rPr>
          <w:rFonts w:hint="eastAsia" w:ascii="仿宋" w:hAnsi="仿宋" w:eastAsia="仿宋" w:cs="仿宋"/>
          <w:sz w:val="32"/>
          <w:szCs w:val="32"/>
        </w:rPr>
        <w:t>万元。</w:t>
      </w:r>
      <w:r>
        <w:rPr>
          <w:rFonts w:hint="eastAsia" w:ascii="仿宋" w:hAnsi="仿宋" w:eastAsia="仿宋"/>
          <w:sz w:val="32"/>
          <w:szCs w:val="32"/>
        </w:rPr>
        <w:t>新寨店镇政府202</w:t>
      </w:r>
      <w:r>
        <w:rPr>
          <w:rFonts w:hint="eastAsia" w:ascii="仿宋" w:hAnsi="仿宋" w:eastAsia="仿宋"/>
          <w:sz w:val="32"/>
          <w:szCs w:val="32"/>
          <w:lang w:val="en-US" w:eastAsia="zh-CN"/>
        </w:rPr>
        <w:t>5</w:t>
      </w:r>
      <w:r>
        <w:rPr>
          <w:rFonts w:hint="eastAsia" w:ascii="仿宋" w:hAnsi="仿宋" w:eastAsia="仿宋"/>
          <w:sz w:val="32"/>
          <w:szCs w:val="32"/>
        </w:rPr>
        <w:t>年涉及项目共</w:t>
      </w:r>
      <w:r>
        <w:rPr>
          <w:rFonts w:hint="eastAsia" w:ascii="仿宋" w:hAnsi="仿宋" w:eastAsia="仿宋"/>
          <w:sz w:val="32"/>
          <w:szCs w:val="32"/>
          <w:lang w:val="en-US" w:eastAsia="zh-CN"/>
        </w:rPr>
        <w:t>9</w:t>
      </w:r>
      <w:r>
        <w:rPr>
          <w:rFonts w:hint="eastAsia" w:ascii="仿宋" w:hAnsi="仿宋" w:eastAsia="仿宋"/>
          <w:sz w:val="32"/>
          <w:szCs w:val="32"/>
        </w:rPr>
        <w:t>个，分别是：人大代表活动经费、环保网格员工资</w:t>
      </w:r>
      <w:r>
        <w:rPr>
          <w:rFonts w:hint="eastAsia" w:ascii="仿宋" w:hAnsi="仿宋" w:eastAsia="仿宋"/>
          <w:sz w:val="32"/>
          <w:szCs w:val="32"/>
          <w:lang w:eastAsia="zh-CN"/>
        </w:rPr>
        <w:t>（</w:t>
      </w:r>
      <w:r>
        <w:rPr>
          <w:rFonts w:hint="eastAsia" w:ascii="仿宋" w:hAnsi="仿宋" w:eastAsia="仿宋"/>
          <w:sz w:val="32"/>
          <w:szCs w:val="32"/>
          <w:lang w:val="en-US" w:eastAsia="zh-CN"/>
        </w:rPr>
        <w:t>污染防治</w:t>
      </w:r>
      <w:r>
        <w:rPr>
          <w:rFonts w:hint="eastAsia" w:ascii="仿宋" w:hAnsi="仿宋" w:eastAsia="仿宋"/>
          <w:sz w:val="32"/>
          <w:szCs w:val="32"/>
          <w:lang w:eastAsia="zh-CN"/>
        </w:rPr>
        <w:t>）</w:t>
      </w:r>
      <w:r>
        <w:rPr>
          <w:rFonts w:hint="eastAsia" w:ascii="仿宋" w:hAnsi="仿宋" w:eastAsia="仿宋"/>
          <w:sz w:val="32"/>
          <w:szCs w:val="32"/>
        </w:rPr>
        <w:t>、</w:t>
      </w:r>
      <w:r>
        <w:rPr>
          <w:rFonts w:hint="eastAsia" w:ascii="仿宋" w:hAnsi="仿宋" w:eastAsia="仿宋"/>
          <w:sz w:val="32"/>
          <w:szCs w:val="32"/>
          <w:lang w:val="en-US" w:eastAsia="zh-CN"/>
        </w:rPr>
        <w:t>公益项目绿化占地补偿</w:t>
      </w:r>
      <w:r>
        <w:rPr>
          <w:rFonts w:hint="eastAsia" w:ascii="仿宋" w:hAnsi="仿宋" w:eastAsia="仿宋"/>
          <w:sz w:val="32"/>
          <w:szCs w:val="32"/>
        </w:rPr>
        <w:t>、</w:t>
      </w:r>
      <w:r>
        <w:rPr>
          <w:rFonts w:hint="eastAsia" w:ascii="仿宋" w:hAnsi="仿宋" w:eastAsia="仿宋"/>
          <w:sz w:val="32"/>
          <w:szCs w:val="32"/>
          <w:lang w:val="en-US" w:eastAsia="zh-CN"/>
        </w:rPr>
        <w:t>工业园区占地补偿</w:t>
      </w:r>
      <w:r>
        <w:rPr>
          <w:rFonts w:hint="eastAsia" w:ascii="仿宋" w:hAnsi="仿宋" w:eastAsia="仿宋"/>
          <w:sz w:val="32"/>
          <w:szCs w:val="32"/>
        </w:rPr>
        <w:t>、服务群众专项（党报党刊征订费用）、武装工作专项经费、</w:t>
      </w:r>
      <w:r>
        <w:rPr>
          <w:rFonts w:hint="eastAsia" w:ascii="仿宋" w:hAnsi="仿宋" w:eastAsia="仿宋"/>
          <w:sz w:val="32"/>
          <w:szCs w:val="32"/>
          <w:lang w:val="en-US" w:eastAsia="zh-CN"/>
        </w:rPr>
        <w:t>乡村振兴（农村环境整治、提前下达2025年支持市县科技创新和科学普及专项资金预算的通知-冀财教【2024】127号）、型煤炉具补贴资金（多康）</w:t>
      </w:r>
      <w:r>
        <w:rPr>
          <w:rFonts w:hint="eastAsia" w:ascii="仿宋" w:hAnsi="仿宋" w:eastAsia="仿宋"/>
          <w:sz w:val="32"/>
          <w:szCs w:val="32"/>
        </w:rPr>
        <w:t>。项目共涉及金额</w:t>
      </w:r>
      <w:r>
        <w:rPr>
          <w:rFonts w:hint="eastAsia" w:ascii="仿宋" w:hAnsi="仿宋" w:eastAsia="仿宋"/>
          <w:sz w:val="32"/>
          <w:szCs w:val="32"/>
          <w:lang w:val="en-US" w:eastAsia="zh-CN"/>
        </w:rPr>
        <w:t>1266.52</w:t>
      </w:r>
      <w:r>
        <w:rPr>
          <w:rFonts w:hint="eastAsia" w:ascii="仿宋" w:hAnsi="仿宋" w:eastAsia="仿宋"/>
          <w:sz w:val="32"/>
          <w:szCs w:val="32"/>
        </w:rPr>
        <w:t>万元。</w:t>
      </w:r>
    </w:p>
    <w:p w14:paraId="3B99E2D2">
      <w:pPr>
        <w:numPr>
          <w:ilvl w:val="0"/>
          <w:numId w:val="3"/>
        </w:num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自评的方法和过程</w:t>
      </w:r>
    </w:p>
    <w:p w14:paraId="789228A2">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财政厅的要求及新寨店镇人民政府履职活动项目特点，对绩效评价指标体系划分为投入、过程、产出与效益3个一级指标。从新寨店镇人民政府履职活动实施时间与计划时间的执行的差异情况、项目绩效目标的合理性、绩效指标明确性、绩效指标完成率、项目立项规范性，项目资金到位率、资金到位及时率、资金使用率、项目成本控制率，业务管理制度和财务管理制度的健全性、制度执行的有效性、项目质量的可控性、资金使用合规安全性、固定资产管理情况及固定资产利用率，会计信息管理的规范完整性，同时结合新寨店镇人民政府履职活动项目的特点构成完整的绩效评价指标体系。</w:t>
      </w:r>
    </w:p>
    <w:p w14:paraId="4B79903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SA"/>
        </w:rPr>
        <w:t>健全各项管理制度，并制定相应的支出管理办法、新寨店镇政府机关各项工作规定相关管理制度，且制度合法、合规、完整，同时制度也得到有效地执行，遵守相关法律法规和业务管理规定；为确保工作计划推进，在具体项目责任分解中对应相关科室和责任人，明确目标、落实责任。项目实施过程中制定了相应的项目质量要求和标准，并积极采取了必需的控制措施，保质保量完成工作计划。</w:t>
      </w:r>
    </w:p>
    <w:p w14:paraId="560BD980">
      <w:pPr>
        <w:pStyle w:val="2"/>
        <w:rPr>
          <w:rFonts w:hint="eastAsia"/>
          <w:lang w:val="en-US" w:eastAsia="zh-CN"/>
        </w:rPr>
      </w:pPr>
    </w:p>
    <w:p w14:paraId="6E708A6E">
      <w:pPr>
        <w:pStyle w:val="2"/>
        <w:numPr>
          <w:ilvl w:val="0"/>
          <w:numId w:val="0"/>
        </w:numPr>
        <w:rPr>
          <w:rFonts w:hint="eastAsia"/>
        </w:rPr>
      </w:pPr>
    </w:p>
    <w:p w14:paraId="2478EE17">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75F27BB">
      <w:pPr>
        <w:numPr>
          <w:ilvl w:val="0"/>
          <w:numId w:val="4"/>
        </w:num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总体绩效目标实现情况</w:t>
      </w:r>
    </w:p>
    <w:p w14:paraId="6F18C645">
      <w:pPr>
        <w:spacing w:line="560" w:lineRule="exact"/>
        <w:ind w:firstLine="640" w:firstLineChars="200"/>
        <w:rPr>
          <w:rFonts w:hint="eastAsia" w:ascii="仿宋" w:hAnsi="仿宋" w:eastAsia="仿宋" w:cs="仿宋"/>
          <w:b/>
          <w:bCs/>
          <w:sz w:val="32"/>
          <w:szCs w:val="32"/>
        </w:rPr>
      </w:pPr>
      <w:r>
        <w:rPr>
          <w:rFonts w:hint="eastAsia" w:ascii="仿宋" w:hAnsi="仿宋" w:eastAsia="仿宋" w:cs="仿宋"/>
          <w:kern w:val="2"/>
          <w:sz w:val="32"/>
          <w:szCs w:val="32"/>
          <w:lang w:val="en-US" w:eastAsia="zh-CN" w:bidi="ar-SA"/>
        </w:rPr>
        <w:t>持续抓好村级组织活动场所管理使用、软弱涣散党组织整顿、发展党员、后备干部培养等，完善巩固现有村集体经济发展基础，积极探索新发展模式，盘活资产资源，总结提炼经验，以先进支部示范带动推动后进支部提升，努力促进党建工作提质增效。加强党员干部队伍建设。从思想政治、业务能力、工作作风等方面加强党员教育管理力度，激励党员干部干事创业的热情，着力打造一支能担重任、作风优良的高素质干部队伍。加强党风廉政建设，持续深入开展</w:t>
      </w:r>
      <w:r>
        <w:rPr>
          <w:rFonts w:hint="eastAsia" w:ascii="仿宋" w:hAnsi="仿宋" w:eastAsia="仿宋" w:cs="仿宋"/>
          <w:b w:val="0"/>
          <w:bCs w:val="0"/>
          <w:i w:val="0"/>
          <w:iCs w:val="0"/>
          <w:caps w:val="0"/>
          <w:color w:val="000000" w:themeColor="text1"/>
          <w:spacing w:val="0"/>
          <w:kern w:val="0"/>
          <w:sz w:val="32"/>
          <w:szCs w:val="32"/>
          <w:shd w:val="clear" w:fill="FFFFFF"/>
          <w:lang w:val="en-US" w:eastAsia="zh-CN" w:bidi="ar"/>
        </w:rPr>
        <w:t>群众身边不正之风和腐败问题专项整治，</w:t>
      </w:r>
      <w:r>
        <w:rPr>
          <w:rFonts w:hint="eastAsia" w:ascii="仿宋" w:hAnsi="仿宋" w:eastAsia="仿宋" w:cs="仿宋"/>
          <w:kern w:val="2"/>
          <w:sz w:val="32"/>
          <w:szCs w:val="32"/>
          <w:lang w:val="en-US" w:eastAsia="zh-CN" w:bidi="ar-SA"/>
        </w:rPr>
        <w:t>严格落实全面从严治党主体责任和监督责任。</w:t>
      </w:r>
      <w:r>
        <w:rPr>
          <w:rFonts w:hint="eastAsia" w:ascii="仿宋" w:hAnsi="仿宋" w:eastAsia="仿宋" w:cs="仿宋"/>
          <w:b/>
          <w:bCs/>
          <w:sz w:val="32"/>
          <w:szCs w:val="32"/>
        </w:rPr>
        <w:t xml:space="preserve">    </w:t>
      </w:r>
    </w:p>
    <w:p w14:paraId="46B4EB68">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（二）分项绩效目标实现情况及指标分析</w:t>
      </w:r>
    </w:p>
    <w:p w14:paraId="6E38BF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sz w:val="30"/>
          <w:szCs w:val="30"/>
          <w:lang w:val="en-US" w:eastAsia="zh-CN"/>
        </w:rPr>
        <w:t>1、</w:t>
      </w:r>
      <w:r>
        <w:rPr>
          <w:rFonts w:hint="eastAsia" w:ascii="仿宋" w:hAnsi="仿宋" w:eastAsia="仿宋"/>
          <w:sz w:val="30"/>
          <w:szCs w:val="30"/>
        </w:rPr>
        <w:t>清理村镇乱搭乱建，乱堆乱放，清理废弃房屋，美化居住环境，清理垃圾，绿化等工作。我镇大力开展环境整治工作，让环境实实在在的改善生活，让群众感受到环境变化，切实增强群众的幸福感、获得感、安全感；明确人居环境改善的重点和时序，循序渐进的改善农村人居环境，全力保障基本生活条件，大力开展村庄环境整治。不断美化村内人居环境和生态环境，逐步提升广大群众文明素质和环保意识，着力营造整洁有序、生态宜人、文明和谐的宜居街道。该项目建设涉及全镇居民，人居环境改善后全镇居民受益，同时、经济效益、社会效益、环境效益和可持续性效益显著，与其它政策无交叉重叠，经过充分调研论证，属于立项范围，属于财政支持范围。</w:t>
      </w:r>
      <w:r>
        <w:rPr>
          <w:rFonts w:hint="eastAsia" w:ascii="仿宋" w:hAnsi="仿宋" w:eastAsia="仿宋" w:cs="仿宋"/>
          <w:sz w:val="30"/>
          <w:szCs w:val="30"/>
        </w:rPr>
        <w:t>改善村民的生活环境，保障村民的正常生活，对营造良好的乡镇社会环境具有重要作用。可改善项目周边居民居住状况，有利于社会化安定和提高人民群众的生活水平。项目</w:t>
      </w:r>
      <w:r>
        <w:rPr>
          <w:rFonts w:hint="eastAsia" w:ascii="仿宋" w:hAnsi="仿宋" w:eastAsia="仿宋"/>
          <w:sz w:val="30"/>
          <w:szCs w:val="30"/>
        </w:rPr>
        <w:t>完成后得到了村民及社会的一致好评，大大提高了群众对政府的满意度。</w:t>
      </w:r>
    </w:p>
    <w:p w14:paraId="06B0A911">
      <w:pPr>
        <w:pStyle w:val="6"/>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b w:val="0"/>
          <w:bCs w:val="0"/>
          <w:sz w:val="32"/>
          <w:szCs w:val="32"/>
          <w:lang w:val="en-US" w:eastAsia="zh-CN"/>
        </w:rPr>
        <w:t>2、推进乡村振兴。</w:t>
      </w:r>
      <w:r>
        <w:rPr>
          <w:rFonts w:hint="eastAsia" w:ascii="仿宋" w:hAnsi="仿宋" w:eastAsia="仿宋" w:cs="仿宋"/>
          <w:kern w:val="2"/>
          <w:sz w:val="32"/>
          <w:szCs w:val="32"/>
          <w:lang w:val="en-US" w:eastAsia="zh-CN" w:bidi="ar-SA"/>
        </w:rPr>
        <w:t>大力推进农村人居环境整治提升，深入开展生活垃圾处理和生活污水治理等。积极争取农业农村局项目资金、一事一议资金，持续完善提升农村基础设施。继续加大土地流转，引导各村立足资源优势积极发展壮大村集体经济。</w:t>
      </w:r>
    </w:p>
    <w:p w14:paraId="3E146D14">
      <w:pPr>
        <w:pStyle w:val="6"/>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sz w:val="32"/>
          <w:szCs w:val="32"/>
          <w:lang w:val="en-US" w:eastAsia="zh-CN"/>
        </w:rPr>
        <w:t>3、改善生态环境。</w:t>
      </w:r>
      <w:r>
        <w:rPr>
          <w:rFonts w:hint="eastAsia" w:ascii="仿宋" w:hAnsi="仿宋" w:eastAsia="仿宋" w:cs="仿宋"/>
          <w:b w:val="0"/>
          <w:bCs w:val="0"/>
          <w:color w:val="auto"/>
          <w:sz w:val="32"/>
          <w:szCs w:val="32"/>
          <w:lang w:val="en-US" w:eastAsia="zh-CN"/>
        </w:rPr>
        <w:t>巩固拓展大气污染防治成果，坚持源头治理、系统治理和综合治理，持续开展工业企业污染管控、扬尘抑尘治理、道路场站排查整治、自建房管控、小街小巷水洗机扫、散乱污清理、露天禁烧等工作</w:t>
      </w:r>
      <w:r>
        <w:rPr>
          <w:rFonts w:hint="eastAsia" w:ascii="仿宋" w:hAnsi="仿宋" w:eastAsia="仿宋" w:cs="仿宋"/>
          <w:kern w:val="2"/>
          <w:sz w:val="32"/>
          <w:szCs w:val="32"/>
          <w:lang w:val="en-US" w:eastAsia="zh-CN" w:bidi="ar-SA"/>
        </w:rPr>
        <w:t>，全力推动空气质量持续好转。严格落实“河长制”“林长制”，确保两级巡河率、巡林率双100%。进一步加强洨河流域监管，统筹水环境治理、水生态保护、水资源利用，常态化抓好土壤修复治理，加大植树绿化力度，打造绿意盎然的城乡环境。</w:t>
      </w:r>
    </w:p>
    <w:p w14:paraId="220C881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val="0"/>
          <w:bCs w:val="0"/>
          <w:sz w:val="32"/>
          <w:szCs w:val="32"/>
          <w:lang w:val="en-US" w:eastAsia="zh-CN"/>
        </w:rPr>
        <w:t>4、加强社会治理。</w:t>
      </w:r>
      <w:r>
        <w:rPr>
          <w:rFonts w:hint="eastAsia" w:ascii="仿宋" w:hAnsi="仿宋" w:eastAsia="仿宋" w:cs="仿宋"/>
          <w:kern w:val="2"/>
          <w:sz w:val="32"/>
          <w:szCs w:val="32"/>
          <w:lang w:val="en-US" w:eastAsia="zh-CN" w:bidi="ar-SA"/>
        </w:rPr>
        <w:t>持续开展脱贫攻坚问题整改，巩固拓展脱贫攻坚成果，扎实推进脱贫攻坚与乡村振兴有效衔接。全力做好信访维稳，特别是重要节点和敏感时期信访稳定，确保将信访人稳控在当地，实现“河北不聚、北京不去”目标。坚持底线思维和“大安全”理念，持续做好防汛抗旱、消防安全、燃气安全、食品安全、企业安全等工作，确保我镇形势持续安全稳定。</w:t>
      </w:r>
    </w:p>
    <w:p w14:paraId="4BC280D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F6C8CF4">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针对预算项目实际情况，通过座谈调研、查阅项目管理制度、财务管理制度等内业资料的形式，采用比较分析法，辅以公众评判法对本项目专项资金使用情况进行绩效评价。经评价总体得分分，得出综合绩效评价等级为优秀。</w:t>
      </w:r>
    </w:p>
    <w:p w14:paraId="22289CF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72DCA9B">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（一）存在的主要问题</w:t>
      </w:r>
    </w:p>
    <w:p w14:paraId="733C0DFB">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sz w:val="32"/>
          <w:szCs w:val="32"/>
        </w:rPr>
        <w:t>1</w:t>
      </w:r>
      <w:r>
        <w:rPr>
          <w:rFonts w:hint="eastAsia" w:ascii="仿宋" w:hAnsi="仿宋" w:eastAsia="仿宋" w:cs="仿宋"/>
          <w:kern w:val="2"/>
          <w:sz w:val="32"/>
          <w:szCs w:val="32"/>
          <w:lang w:val="en-US" w:eastAsia="zh-CN" w:bidi="ar-SA"/>
        </w:rPr>
        <w:t>、因业务水平有限，年初预算的编制支出类别上理解不够，比如基本支出和项目支出，在日常业务操作时容易出错。</w:t>
      </w:r>
    </w:p>
    <w:p w14:paraId="61CD5E6B">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2、预决算项目支出编制需进一步明确、精细化。同时项目执行率需进一步提高。</w:t>
      </w:r>
    </w:p>
    <w:p w14:paraId="31590841">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Cs/>
          <w:sz w:val="32"/>
          <w:szCs w:val="32"/>
        </w:rPr>
      </w:pPr>
      <w:r>
        <w:rPr>
          <w:rFonts w:hint="eastAsia" w:ascii="仿宋" w:hAnsi="仿宋" w:eastAsia="仿宋" w:cs="仿宋"/>
          <w:kern w:val="2"/>
          <w:sz w:val="32"/>
          <w:szCs w:val="32"/>
          <w:lang w:val="en-US" w:eastAsia="zh-CN" w:bidi="ar-SA"/>
        </w:rPr>
        <w:t>3、随着对预、决算编制工作水平要求越来越高，数据编制要求越来越精准、规范；时间紧、任务大；加之现行决算工作与实际账务处理工作间衔接还存在一定差异；会计人员业务明显增加，人员紧缺，加之业务操作水平有限，实际操作中确实感到力不从心 。</w:t>
      </w:r>
    </w:p>
    <w:p w14:paraId="7113D109">
      <w:pPr>
        <w:spacing w:line="560" w:lineRule="exact"/>
        <w:ind w:firstLine="640" w:firstLineChars="200"/>
        <w:rPr>
          <w:rFonts w:hint="eastAsia" w:ascii="仿宋" w:hAnsi="仿宋" w:eastAsia="仿宋" w:cs="仿宋"/>
          <w:bCs/>
          <w:sz w:val="32"/>
          <w:szCs w:val="32"/>
        </w:rPr>
      </w:pPr>
      <w:r>
        <w:rPr>
          <w:rFonts w:hint="eastAsia" w:ascii="仿宋" w:hAnsi="仿宋" w:eastAsia="仿宋" w:cs="仿宋"/>
          <w:bCs/>
          <w:sz w:val="32"/>
          <w:szCs w:val="32"/>
        </w:rPr>
        <w:t>（二）针对问题提出具体的改进措施或建议</w:t>
      </w:r>
    </w:p>
    <w:p w14:paraId="4FEBACE7">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sz w:val="32"/>
          <w:szCs w:val="32"/>
        </w:rPr>
        <w:t>1</w:t>
      </w:r>
      <w:r>
        <w:rPr>
          <w:rFonts w:hint="eastAsia" w:ascii="仿宋" w:hAnsi="仿宋" w:eastAsia="仿宋" w:cs="仿宋"/>
          <w:kern w:val="2"/>
          <w:sz w:val="32"/>
          <w:szCs w:val="32"/>
          <w:lang w:val="en-US" w:eastAsia="zh-CN" w:bidi="ar-SA"/>
        </w:rPr>
        <w:t>、细化预算编制工作，进一步加强内设机构的预算管理意识，严格按照预算编制的相关制度和要求进行预算编制。</w:t>
      </w:r>
    </w:p>
    <w:p w14:paraId="65AAC92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加强财务管理，严格财务审核。加强单位财务管理，健全单位财务管理制度体系，规范单位财务行为。在费用报账支付时，按照预算规定的费用项目和用途进行资金使用审核、财务严格核算，杜绝超支现象的发生。</w:t>
      </w:r>
    </w:p>
    <w:p w14:paraId="7AE1881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3、合理安排会计岗位，适当增加会计人员，增加业务知识培训，加强决算工作与账务处理工作衔接。</w:t>
      </w:r>
    </w:p>
    <w:p w14:paraId="24DC390F">
      <w:pPr>
        <w:spacing w:line="560" w:lineRule="exact"/>
        <w:ind w:firstLine="640" w:firstLineChars="200"/>
        <w:rPr>
          <w:rFonts w:hint="eastAsia" w:ascii="楷体" w:hAnsi="楷体" w:eastAsia="楷体"/>
          <w:bCs/>
          <w:sz w:val="32"/>
          <w:szCs w:val="32"/>
        </w:rPr>
      </w:pPr>
    </w:p>
    <w:p w14:paraId="7A6B28F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9"/>
        <w:tblW w:w="87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2695"/>
        <w:gridCol w:w="1545"/>
        <w:gridCol w:w="2850"/>
      </w:tblGrid>
      <w:tr w14:paraId="0451E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bottom"/>
          </w:tcPr>
          <w:p w14:paraId="53E0928A">
            <w:pPr>
              <w:pStyle w:val="6"/>
              <w:jc w:val="center"/>
              <w:rPr>
                <w:rFonts w:hint="eastAsia" w:ascii="宋体" w:hAnsi="宋体" w:eastAsia="宋体" w:cs="宋体"/>
                <w:b/>
                <w:bCs/>
                <w:sz w:val="32"/>
                <w:szCs w:val="32"/>
                <w:vertAlign w:val="baseline"/>
                <w:lang w:val="en-US" w:eastAsia="zh-CN"/>
              </w:rPr>
            </w:pPr>
            <w:r>
              <w:rPr>
                <w:rFonts w:hint="eastAsia" w:ascii="宋体" w:hAnsi="宋体" w:eastAsia="宋体" w:cs="宋体"/>
                <w:b/>
                <w:bCs/>
                <w:sz w:val="32"/>
                <w:szCs w:val="32"/>
                <w:vertAlign w:val="baseline"/>
                <w:lang w:val="en-US" w:eastAsia="zh-CN"/>
              </w:rPr>
              <w:t>姓名</w:t>
            </w:r>
          </w:p>
        </w:tc>
        <w:tc>
          <w:tcPr>
            <w:tcW w:w="2695" w:type="dxa"/>
            <w:vAlign w:val="bottom"/>
          </w:tcPr>
          <w:p w14:paraId="3F292E38">
            <w:pPr>
              <w:pStyle w:val="6"/>
              <w:jc w:val="center"/>
              <w:rPr>
                <w:rFonts w:hint="eastAsia" w:ascii="宋体" w:hAnsi="宋体" w:eastAsia="宋体" w:cs="宋体"/>
                <w:b/>
                <w:bCs/>
                <w:sz w:val="32"/>
                <w:szCs w:val="32"/>
                <w:vertAlign w:val="baseline"/>
                <w:lang w:eastAsia="zh-CN"/>
              </w:rPr>
            </w:pPr>
            <w:r>
              <w:rPr>
                <w:rFonts w:hint="eastAsia" w:ascii="宋体" w:hAnsi="宋体" w:eastAsia="宋体" w:cs="宋体"/>
                <w:b/>
                <w:bCs/>
                <w:sz w:val="32"/>
                <w:szCs w:val="32"/>
                <w:vertAlign w:val="baseline"/>
                <w:lang w:eastAsia="zh-CN"/>
              </w:rPr>
              <w:t>工作单位</w:t>
            </w:r>
          </w:p>
        </w:tc>
        <w:tc>
          <w:tcPr>
            <w:tcW w:w="1545" w:type="dxa"/>
            <w:vAlign w:val="bottom"/>
          </w:tcPr>
          <w:p w14:paraId="33B4E954">
            <w:pPr>
              <w:pStyle w:val="6"/>
              <w:jc w:val="center"/>
              <w:rPr>
                <w:rFonts w:hint="eastAsia" w:ascii="宋体" w:hAnsi="宋体" w:eastAsia="宋体" w:cs="宋体"/>
                <w:b/>
                <w:bCs/>
                <w:sz w:val="32"/>
                <w:szCs w:val="32"/>
                <w:vertAlign w:val="baseline"/>
                <w:lang w:eastAsia="zh-CN"/>
              </w:rPr>
            </w:pPr>
            <w:r>
              <w:rPr>
                <w:rFonts w:hint="eastAsia" w:ascii="宋体" w:hAnsi="宋体" w:eastAsia="宋体" w:cs="宋体"/>
                <w:b/>
                <w:bCs/>
                <w:sz w:val="32"/>
                <w:szCs w:val="32"/>
                <w:vertAlign w:val="baseline"/>
                <w:lang w:eastAsia="zh-CN"/>
              </w:rPr>
              <w:t>职务</w:t>
            </w:r>
          </w:p>
        </w:tc>
        <w:tc>
          <w:tcPr>
            <w:tcW w:w="2850" w:type="dxa"/>
            <w:vAlign w:val="bottom"/>
          </w:tcPr>
          <w:p w14:paraId="7589C685">
            <w:pPr>
              <w:pStyle w:val="6"/>
              <w:jc w:val="center"/>
              <w:rPr>
                <w:rFonts w:hint="eastAsia" w:ascii="宋体" w:hAnsi="宋体" w:eastAsia="宋体" w:cs="宋体"/>
                <w:b/>
                <w:bCs/>
                <w:sz w:val="32"/>
                <w:szCs w:val="32"/>
                <w:vertAlign w:val="baseline"/>
                <w:lang w:eastAsia="zh-CN"/>
              </w:rPr>
            </w:pPr>
            <w:r>
              <w:rPr>
                <w:rFonts w:hint="eastAsia" w:ascii="宋体" w:hAnsi="宋体" w:eastAsia="宋体" w:cs="宋体"/>
                <w:b/>
                <w:bCs/>
                <w:sz w:val="32"/>
                <w:szCs w:val="32"/>
                <w:vertAlign w:val="baseline"/>
                <w:lang w:eastAsia="zh-CN"/>
              </w:rPr>
              <w:t>签字</w:t>
            </w:r>
          </w:p>
        </w:tc>
      </w:tr>
      <w:tr w14:paraId="613DF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704" w:type="dxa"/>
            <w:vAlign w:val="bottom"/>
          </w:tcPr>
          <w:p w14:paraId="4694C760">
            <w:pPr>
              <w:pStyle w:val="6"/>
              <w:jc w:val="center"/>
              <w:rPr>
                <w:rFonts w:hint="default" w:ascii="宋体" w:hAnsi="宋体" w:eastAsia="宋体" w:cs="宋体"/>
                <w:b/>
                <w:bCs/>
                <w:sz w:val="24"/>
                <w:szCs w:val="24"/>
                <w:vertAlign w:val="baseline"/>
                <w:lang w:val="en-US" w:eastAsia="zh-CN"/>
              </w:rPr>
            </w:pPr>
            <w:r>
              <w:rPr>
                <w:rFonts w:hint="eastAsia" w:ascii="宋体" w:hAnsi="宋体" w:cs="宋体"/>
                <w:b/>
                <w:bCs/>
                <w:sz w:val="24"/>
                <w:szCs w:val="24"/>
                <w:vertAlign w:val="baseline"/>
                <w:lang w:val="en-US" w:eastAsia="zh-CN"/>
              </w:rPr>
              <w:t>宋素辉</w:t>
            </w:r>
          </w:p>
        </w:tc>
        <w:tc>
          <w:tcPr>
            <w:tcW w:w="2695" w:type="dxa"/>
            <w:vAlign w:val="bottom"/>
          </w:tcPr>
          <w:p w14:paraId="45AFEE63">
            <w:pPr>
              <w:pStyle w:val="6"/>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赵县</w:t>
            </w:r>
            <w:r>
              <w:rPr>
                <w:rFonts w:hint="eastAsia" w:ascii="宋体" w:hAnsi="宋体" w:cs="宋体"/>
                <w:b/>
                <w:bCs/>
                <w:sz w:val="24"/>
                <w:szCs w:val="24"/>
                <w:vertAlign w:val="baseline"/>
                <w:lang w:val="en-US" w:eastAsia="zh-CN"/>
              </w:rPr>
              <w:t>新寨店镇</w:t>
            </w:r>
            <w:r>
              <w:rPr>
                <w:rFonts w:hint="eastAsia" w:ascii="宋体" w:hAnsi="宋体" w:eastAsia="宋体" w:cs="宋体"/>
                <w:b/>
                <w:bCs/>
                <w:sz w:val="24"/>
                <w:szCs w:val="24"/>
                <w:vertAlign w:val="baseline"/>
                <w:lang w:eastAsia="zh-CN"/>
              </w:rPr>
              <w:t>人民政府</w:t>
            </w:r>
          </w:p>
        </w:tc>
        <w:tc>
          <w:tcPr>
            <w:tcW w:w="1545" w:type="dxa"/>
            <w:vAlign w:val="bottom"/>
          </w:tcPr>
          <w:p w14:paraId="6C4A2048">
            <w:pPr>
              <w:pStyle w:val="6"/>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组长</w:t>
            </w:r>
          </w:p>
        </w:tc>
        <w:tc>
          <w:tcPr>
            <w:tcW w:w="2850" w:type="dxa"/>
            <w:vAlign w:val="bottom"/>
          </w:tcPr>
          <w:p w14:paraId="6CD76BD7">
            <w:pPr>
              <w:pStyle w:val="6"/>
              <w:jc w:val="center"/>
              <w:rPr>
                <w:rFonts w:hint="eastAsia" w:ascii="宋体" w:hAnsi="宋体" w:eastAsia="宋体" w:cs="宋体"/>
                <w:b/>
                <w:bCs/>
                <w:sz w:val="24"/>
                <w:szCs w:val="24"/>
                <w:vertAlign w:val="baseline"/>
                <w:lang w:eastAsia="zh-CN"/>
              </w:rPr>
            </w:pPr>
          </w:p>
        </w:tc>
      </w:tr>
      <w:tr w14:paraId="3900F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704" w:type="dxa"/>
            <w:vAlign w:val="bottom"/>
          </w:tcPr>
          <w:p w14:paraId="5F55CC38">
            <w:pPr>
              <w:pStyle w:val="6"/>
              <w:jc w:val="center"/>
              <w:rPr>
                <w:rFonts w:hint="eastAsia" w:ascii="宋体" w:hAnsi="宋体" w:eastAsia="宋体" w:cs="宋体"/>
                <w:b/>
                <w:bCs/>
                <w:sz w:val="24"/>
                <w:szCs w:val="24"/>
                <w:vertAlign w:val="baseline"/>
                <w:lang w:eastAsia="zh-CN"/>
              </w:rPr>
            </w:pPr>
            <w:r>
              <w:rPr>
                <w:rFonts w:hint="eastAsia" w:ascii="宋体" w:hAnsi="宋体" w:cs="宋体"/>
                <w:b/>
                <w:bCs/>
                <w:sz w:val="24"/>
                <w:szCs w:val="24"/>
                <w:vertAlign w:val="baseline"/>
                <w:lang w:val="en-US" w:eastAsia="zh-CN"/>
              </w:rPr>
              <w:t>米壮</w:t>
            </w:r>
          </w:p>
        </w:tc>
        <w:tc>
          <w:tcPr>
            <w:tcW w:w="2695" w:type="dxa"/>
            <w:shd w:val="clear" w:color="auto" w:fill="auto"/>
            <w:vAlign w:val="bottom"/>
          </w:tcPr>
          <w:p w14:paraId="184FCC0D">
            <w:pPr>
              <w:pStyle w:val="6"/>
              <w:jc w:val="center"/>
              <w:rPr>
                <w:rFonts w:hint="eastAsia" w:ascii="宋体" w:hAnsi="宋体" w:eastAsia="宋体" w:cs="宋体"/>
                <w:b/>
                <w:bCs/>
                <w:kern w:val="2"/>
                <w:sz w:val="24"/>
                <w:szCs w:val="24"/>
                <w:vertAlign w:val="baseline"/>
                <w:lang w:val="en-US" w:eastAsia="zh-CN" w:bidi="ar-SA"/>
              </w:rPr>
            </w:pPr>
            <w:r>
              <w:rPr>
                <w:rFonts w:hint="eastAsia" w:ascii="宋体" w:hAnsi="宋体" w:eastAsia="宋体" w:cs="宋体"/>
                <w:b/>
                <w:bCs/>
                <w:sz w:val="24"/>
                <w:szCs w:val="24"/>
                <w:vertAlign w:val="baseline"/>
                <w:lang w:eastAsia="zh-CN"/>
              </w:rPr>
              <w:t>赵县</w:t>
            </w:r>
            <w:r>
              <w:rPr>
                <w:rFonts w:hint="eastAsia" w:ascii="宋体" w:hAnsi="宋体" w:cs="宋体"/>
                <w:b/>
                <w:bCs/>
                <w:sz w:val="24"/>
                <w:szCs w:val="24"/>
                <w:vertAlign w:val="baseline"/>
                <w:lang w:val="en-US" w:eastAsia="zh-CN"/>
              </w:rPr>
              <w:t>新寨店镇</w:t>
            </w:r>
            <w:r>
              <w:rPr>
                <w:rFonts w:hint="eastAsia" w:ascii="宋体" w:hAnsi="宋体" w:eastAsia="宋体" w:cs="宋体"/>
                <w:b/>
                <w:bCs/>
                <w:sz w:val="24"/>
                <w:szCs w:val="24"/>
                <w:vertAlign w:val="baseline"/>
                <w:lang w:eastAsia="zh-CN"/>
              </w:rPr>
              <w:t>人民政府</w:t>
            </w:r>
          </w:p>
        </w:tc>
        <w:tc>
          <w:tcPr>
            <w:tcW w:w="1545" w:type="dxa"/>
            <w:vAlign w:val="bottom"/>
          </w:tcPr>
          <w:p w14:paraId="530F136C">
            <w:pPr>
              <w:pStyle w:val="6"/>
              <w:jc w:val="center"/>
              <w:rPr>
                <w:rFonts w:hint="eastAsia" w:ascii="宋体" w:hAnsi="宋体" w:eastAsia="宋体" w:cs="宋体"/>
                <w:b/>
                <w:bCs/>
                <w:sz w:val="24"/>
                <w:szCs w:val="24"/>
                <w:vertAlign w:val="baseline"/>
                <w:lang w:eastAsia="zh-CN"/>
              </w:rPr>
            </w:pPr>
            <w:r>
              <w:rPr>
                <w:rFonts w:hint="eastAsia" w:ascii="宋体" w:hAnsi="宋体" w:eastAsia="宋体" w:cs="宋体"/>
                <w:b/>
                <w:bCs/>
                <w:sz w:val="24"/>
                <w:szCs w:val="24"/>
                <w:vertAlign w:val="baseline"/>
                <w:lang w:eastAsia="zh-CN"/>
              </w:rPr>
              <w:t>副组长</w:t>
            </w:r>
          </w:p>
        </w:tc>
        <w:tc>
          <w:tcPr>
            <w:tcW w:w="2850" w:type="dxa"/>
            <w:vAlign w:val="bottom"/>
          </w:tcPr>
          <w:p w14:paraId="15797FB8">
            <w:pPr>
              <w:pStyle w:val="6"/>
              <w:jc w:val="center"/>
              <w:rPr>
                <w:rFonts w:hint="eastAsia" w:ascii="宋体" w:hAnsi="宋体" w:eastAsia="宋体" w:cs="宋体"/>
                <w:b/>
                <w:bCs/>
                <w:sz w:val="24"/>
                <w:szCs w:val="24"/>
                <w:vertAlign w:val="baseline"/>
                <w:lang w:eastAsia="zh-CN"/>
              </w:rPr>
            </w:pPr>
          </w:p>
        </w:tc>
      </w:tr>
      <w:tr w14:paraId="33F6D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704" w:type="dxa"/>
            <w:vAlign w:val="bottom"/>
          </w:tcPr>
          <w:p w14:paraId="5FA986FF">
            <w:pPr>
              <w:pStyle w:val="6"/>
              <w:jc w:val="center"/>
              <w:rPr>
                <w:rFonts w:hint="default" w:ascii="宋体" w:hAnsi="宋体" w:eastAsia="宋体" w:cs="宋体"/>
                <w:b/>
                <w:bCs/>
                <w:sz w:val="24"/>
                <w:szCs w:val="24"/>
                <w:vertAlign w:val="baseline"/>
                <w:lang w:val="en-US" w:eastAsia="zh-CN"/>
              </w:rPr>
            </w:pPr>
            <w:r>
              <w:rPr>
                <w:rFonts w:hint="eastAsia" w:ascii="宋体" w:hAnsi="宋体" w:cs="宋体"/>
                <w:b/>
                <w:bCs/>
                <w:sz w:val="24"/>
                <w:szCs w:val="24"/>
                <w:vertAlign w:val="baseline"/>
                <w:lang w:val="en-US" w:eastAsia="zh-CN"/>
              </w:rPr>
              <w:t>霍雅雅</w:t>
            </w:r>
          </w:p>
        </w:tc>
        <w:tc>
          <w:tcPr>
            <w:tcW w:w="2695" w:type="dxa"/>
            <w:shd w:val="clear" w:color="auto" w:fill="auto"/>
            <w:vAlign w:val="bottom"/>
          </w:tcPr>
          <w:p w14:paraId="633268EC">
            <w:pPr>
              <w:pStyle w:val="6"/>
              <w:jc w:val="center"/>
              <w:rPr>
                <w:rFonts w:hint="eastAsia" w:ascii="宋体" w:hAnsi="宋体" w:eastAsia="宋体" w:cs="宋体"/>
                <w:b/>
                <w:bCs/>
                <w:kern w:val="2"/>
                <w:sz w:val="24"/>
                <w:szCs w:val="24"/>
                <w:vertAlign w:val="baseline"/>
                <w:lang w:val="en-US" w:eastAsia="zh-CN" w:bidi="ar-SA"/>
              </w:rPr>
            </w:pPr>
            <w:r>
              <w:rPr>
                <w:rFonts w:hint="eastAsia" w:ascii="宋体" w:hAnsi="宋体" w:eastAsia="宋体" w:cs="宋体"/>
                <w:b/>
                <w:bCs/>
                <w:sz w:val="24"/>
                <w:szCs w:val="24"/>
                <w:vertAlign w:val="baseline"/>
                <w:lang w:eastAsia="zh-CN"/>
              </w:rPr>
              <w:t>赵县</w:t>
            </w:r>
            <w:r>
              <w:rPr>
                <w:rFonts w:hint="eastAsia" w:ascii="宋体" w:hAnsi="宋体" w:cs="宋体"/>
                <w:b/>
                <w:bCs/>
                <w:sz w:val="24"/>
                <w:szCs w:val="24"/>
                <w:vertAlign w:val="baseline"/>
                <w:lang w:val="en-US" w:eastAsia="zh-CN"/>
              </w:rPr>
              <w:t>新寨店镇</w:t>
            </w:r>
            <w:r>
              <w:rPr>
                <w:rFonts w:hint="eastAsia" w:ascii="宋体" w:hAnsi="宋体" w:eastAsia="宋体" w:cs="宋体"/>
                <w:b/>
                <w:bCs/>
                <w:sz w:val="24"/>
                <w:szCs w:val="24"/>
                <w:vertAlign w:val="baseline"/>
                <w:lang w:eastAsia="zh-CN"/>
              </w:rPr>
              <w:t>人民政府</w:t>
            </w:r>
          </w:p>
        </w:tc>
        <w:tc>
          <w:tcPr>
            <w:tcW w:w="1545" w:type="dxa"/>
            <w:vAlign w:val="bottom"/>
          </w:tcPr>
          <w:p w14:paraId="6906CF57">
            <w:pPr>
              <w:pStyle w:val="6"/>
              <w:jc w:val="center"/>
              <w:rPr>
                <w:rFonts w:hint="eastAsia" w:ascii="宋体" w:hAnsi="宋体" w:eastAsia="宋体" w:cs="宋体"/>
                <w:b/>
                <w:bCs/>
                <w:kern w:val="2"/>
                <w:sz w:val="24"/>
                <w:szCs w:val="24"/>
                <w:vertAlign w:val="baseline"/>
                <w:lang w:val="en-US" w:eastAsia="zh-CN" w:bidi="ar-SA"/>
              </w:rPr>
            </w:pPr>
            <w:r>
              <w:rPr>
                <w:rFonts w:hint="eastAsia" w:ascii="宋体" w:hAnsi="宋体" w:eastAsia="宋体" w:cs="宋体"/>
                <w:b/>
                <w:bCs/>
                <w:sz w:val="24"/>
                <w:szCs w:val="24"/>
                <w:vertAlign w:val="baseline"/>
                <w:lang w:eastAsia="zh-CN"/>
              </w:rPr>
              <w:t>成员</w:t>
            </w:r>
          </w:p>
        </w:tc>
        <w:tc>
          <w:tcPr>
            <w:tcW w:w="2850" w:type="dxa"/>
            <w:vAlign w:val="bottom"/>
          </w:tcPr>
          <w:p w14:paraId="604A082A">
            <w:pPr>
              <w:pStyle w:val="6"/>
              <w:jc w:val="center"/>
              <w:rPr>
                <w:rFonts w:hint="eastAsia" w:ascii="宋体" w:hAnsi="宋体" w:eastAsia="宋体" w:cs="宋体"/>
                <w:b/>
                <w:bCs/>
                <w:sz w:val="24"/>
                <w:szCs w:val="24"/>
                <w:vertAlign w:val="baseline"/>
                <w:lang w:eastAsia="zh-CN"/>
              </w:rPr>
            </w:pPr>
          </w:p>
        </w:tc>
      </w:tr>
    </w:tbl>
    <w:p w14:paraId="4FFB0529">
      <w:pPr>
        <w:rPr>
          <w:rFonts w:hint="default"/>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_GBK">
    <w:altName w:val="微软雅黑"/>
    <w:panose1 w:val="00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9CB3E">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3B16B2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- 9 -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BB5D43"/>
    <w:multiLevelType w:val="singleLevel"/>
    <w:tmpl w:val="FDBB5D43"/>
    <w:lvl w:ilvl="0" w:tentative="0">
      <w:start w:val="4"/>
      <w:numFmt w:val="decimal"/>
      <w:suff w:val="nothing"/>
      <w:lvlText w:val="%1、"/>
      <w:lvlJc w:val="left"/>
    </w:lvl>
  </w:abstractNum>
  <w:abstractNum w:abstractNumId="1">
    <w:nsid w:val="2381BB4B"/>
    <w:multiLevelType w:val="singleLevel"/>
    <w:tmpl w:val="2381BB4B"/>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EB47CB6"/>
    <w:multiLevelType w:val="singleLevel"/>
    <w:tmpl w:val="6EB47CB6"/>
    <w:lvl w:ilvl="0" w:tentative="0">
      <w:start w:val="2"/>
      <w:numFmt w:val="chineseCounting"/>
      <w:suff w:val="nothing"/>
      <w:lvlText w:val="（%1）"/>
      <w:lvlJc w:val="left"/>
      <w:rPr>
        <w:rFonts w:hint="eastAsi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8347B7"/>
    <w:rsid w:val="00956A93"/>
    <w:rsid w:val="009D11C5"/>
    <w:rsid w:val="009E575C"/>
    <w:rsid w:val="00AB45AC"/>
    <w:rsid w:val="00AF167E"/>
    <w:rsid w:val="00AF566A"/>
    <w:rsid w:val="00B478EA"/>
    <w:rsid w:val="00B6553A"/>
    <w:rsid w:val="00B77384"/>
    <w:rsid w:val="00BC6576"/>
    <w:rsid w:val="00BF2292"/>
    <w:rsid w:val="00C968D1"/>
    <w:rsid w:val="00CE06BA"/>
    <w:rsid w:val="00DD491C"/>
    <w:rsid w:val="00E15663"/>
    <w:rsid w:val="00F441CC"/>
    <w:rsid w:val="00F75EFB"/>
    <w:rsid w:val="01B104CA"/>
    <w:rsid w:val="02106AB0"/>
    <w:rsid w:val="02B43A28"/>
    <w:rsid w:val="046F331E"/>
    <w:rsid w:val="07956271"/>
    <w:rsid w:val="07F555BC"/>
    <w:rsid w:val="09721397"/>
    <w:rsid w:val="0BB63BED"/>
    <w:rsid w:val="0EB97A43"/>
    <w:rsid w:val="0EBD2122"/>
    <w:rsid w:val="0F214EAE"/>
    <w:rsid w:val="10A16EA7"/>
    <w:rsid w:val="11B71E6A"/>
    <w:rsid w:val="15432951"/>
    <w:rsid w:val="162F0763"/>
    <w:rsid w:val="192705CC"/>
    <w:rsid w:val="1AAF0063"/>
    <w:rsid w:val="1BE140DE"/>
    <w:rsid w:val="1C0A2CC7"/>
    <w:rsid w:val="1D491BD5"/>
    <w:rsid w:val="248C197D"/>
    <w:rsid w:val="252959AF"/>
    <w:rsid w:val="27143BE5"/>
    <w:rsid w:val="277A6671"/>
    <w:rsid w:val="27D770BD"/>
    <w:rsid w:val="27DD69BD"/>
    <w:rsid w:val="281A529E"/>
    <w:rsid w:val="292D35B7"/>
    <w:rsid w:val="33EB6CFF"/>
    <w:rsid w:val="35A12947"/>
    <w:rsid w:val="37387040"/>
    <w:rsid w:val="3B625C0A"/>
    <w:rsid w:val="3C656946"/>
    <w:rsid w:val="3CBF2AFB"/>
    <w:rsid w:val="3CEE1963"/>
    <w:rsid w:val="436B78D3"/>
    <w:rsid w:val="43CE3E86"/>
    <w:rsid w:val="4C9C27FE"/>
    <w:rsid w:val="512260B4"/>
    <w:rsid w:val="52BD6ACB"/>
    <w:rsid w:val="546A1D94"/>
    <w:rsid w:val="55537534"/>
    <w:rsid w:val="561A74F1"/>
    <w:rsid w:val="597244E8"/>
    <w:rsid w:val="5D167471"/>
    <w:rsid w:val="5EB71C30"/>
    <w:rsid w:val="66AF0CE5"/>
    <w:rsid w:val="6AC537CF"/>
    <w:rsid w:val="6E5B14A6"/>
    <w:rsid w:val="711B255E"/>
    <w:rsid w:val="73096458"/>
    <w:rsid w:val="78C35FC4"/>
    <w:rsid w:val="78CB7284"/>
    <w:rsid w:val="7B1D1E0B"/>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Normal Indent"/>
    <w:basedOn w:val="1"/>
    <w:qFormat/>
    <w:uiPriority w:val="0"/>
    <w:pPr>
      <w:ind w:firstLine="420" w:firstLineChars="200"/>
    </w:pPr>
    <w:rPr>
      <w:rFonts w:cs="Times New Roman"/>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footnote text"/>
    <w:basedOn w:val="1"/>
    <w:qFormat/>
    <w:uiPriority w:val="0"/>
    <w:rPr>
      <w:rFonts w:ascii="Calibri" w:hAnsi="Calibri"/>
      <w:kern w:val="2"/>
    </w:rPr>
  </w:style>
  <w:style w:type="paragraph" w:styleId="7">
    <w:name w:val="Normal (Web)"/>
    <w:basedOn w:val="1"/>
    <w:qFormat/>
    <w:uiPriority w:val="0"/>
    <w:rPr>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
    <w:basedOn w:val="1"/>
    <w:qFormat/>
    <w:uiPriority w:val="99"/>
    <w:rPr>
      <w:rFonts w:ascii="方正书宋_GBK" w:hAnsi="方正书宋_GBK" w:eastAsia="方正书宋_GBK" w:cs="方正书宋_GBK"/>
      <w:szCs w:val="21"/>
    </w:rPr>
  </w:style>
  <w:style w:type="paragraph" w:styleId="12">
    <w:name w:val="List Paragraph"/>
    <w:basedOn w:val="1"/>
    <w:qFormat/>
    <w:uiPriority w:val="34"/>
    <w:pPr>
      <w:ind w:firstLine="420" w:firstLineChars="200"/>
    </w:pPr>
  </w:style>
  <w:style w:type="paragraph" w:customStyle="1" w:styleId="13">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4">
    <w:name w:val="单元格样式3"/>
    <w:qFormat/>
    <w:uiPriority w:val="0"/>
    <w:pPr>
      <w:jc w:val="center"/>
    </w:pPr>
    <w:rPr>
      <w:rFonts w:ascii="方正书宋_GBK" w:hAnsi="方正书宋_GBK" w:eastAsia="方正书宋_GBK" w:cs="方正书宋_GBK"/>
      <w:sz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3322</Words>
  <Characters>3443</Characters>
  <Lines>33</Lines>
  <Paragraphs>9</Paragraphs>
  <TotalTime>0</TotalTime>
  <ScaleCrop>false</ScaleCrop>
  <LinksUpToDate>false</LinksUpToDate>
  <CharactersWithSpaces>3467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2025-04-22T01:34:00Z</cp:lastPrinted>
  <dcterms:modified xsi:type="dcterms:W3CDTF">2026-05-09T08:22:11Z</dcterms:modified>
  <dc:title>附件3：</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