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780" w:lineRule="atLeast"/>
        <w:ind w:left="0" w:right="0" w:firstLine="0"/>
        <w:jc w:val="center"/>
        <w:textAlignment w:val="baseline"/>
        <w:rPr>
          <w:rFonts w:hint="default" w:ascii="sans-serif" w:hAnsi="sans-serif" w:eastAsia="sans-serif" w:cs="sans-serif"/>
          <w:b/>
          <w:bCs/>
          <w:i w:val="0"/>
          <w:iCs w:val="0"/>
          <w:caps w:val="0"/>
          <w:color w:val="000000"/>
          <w:spacing w:val="0"/>
          <w:sz w:val="40"/>
          <w:szCs w:val="40"/>
          <w:bdr w:val="none" w:color="auto" w:sz="0" w:space="0"/>
          <w:shd w:val="clear" w:fill="FFFFFF"/>
          <w:vertAlign w:val="baseline"/>
        </w:rPr>
      </w:pPr>
      <w:r>
        <w:rPr>
          <w:rFonts w:hint="default" w:ascii="sans-serif" w:hAnsi="sans-serif" w:eastAsia="sans-serif" w:cs="sans-serif"/>
          <w:b/>
          <w:bCs/>
          <w:i w:val="0"/>
          <w:iCs w:val="0"/>
          <w:caps w:val="0"/>
          <w:color w:val="000000"/>
          <w:spacing w:val="0"/>
          <w:sz w:val="40"/>
          <w:szCs w:val="40"/>
          <w:bdr w:val="none" w:color="auto" w:sz="0" w:space="0"/>
          <w:shd w:val="clear" w:fill="FFFFFF"/>
          <w:vertAlign w:val="baseline"/>
        </w:rPr>
        <w:t>《河北省预防未成年人犯罪条例》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780" w:lineRule="atLeast"/>
        <w:ind w:left="0" w:right="0" w:firstLine="0"/>
        <w:jc w:val="center"/>
        <w:textAlignment w:val="baseline"/>
        <w:rPr>
          <w:rFonts w:ascii="sans-serif" w:hAnsi="sans-serif" w:eastAsia="sans-serif" w:cs="sans-serif"/>
          <w:b/>
          <w:bCs/>
          <w:i w:val="0"/>
          <w:iCs w:val="0"/>
          <w:caps w:val="0"/>
          <w:color w:val="000000"/>
          <w:spacing w:val="0"/>
          <w:sz w:val="40"/>
          <w:szCs w:val="40"/>
        </w:rPr>
      </w:pPr>
      <w:bookmarkStart w:id="0" w:name="_GoBack"/>
      <w:bookmarkEnd w:id="0"/>
      <w:r>
        <w:rPr>
          <w:rFonts w:hint="default" w:ascii="sans-serif" w:hAnsi="sans-serif" w:eastAsia="sans-serif" w:cs="sans-serif"/>
          <w:b/>
          <w:bCs/>
          <w:i w:val="0"/>
          <w:iCs w:val="0"/>
          <w:caps w:val="0"/>
          <w:color w:val="000000"/>
          <w:spacing w:val="0"/>
          <w:sz w:val="40"/>
          <w:szCs w:val="40"/>
          <w:bdr w:val="none" w:color="auto" w:sz="0" w:space="0"/>
          <w:shd w:val="clear" w:fill="FFFFFF"/>
          <w:vertAlign w:val="baseline"/>
        </w:rPr>
        <w:t>5月起正式施行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textAlignment w:val="baseline"/>
        <w:rPr>
          <w:rFonts w:hint="default" w:ascii="sans-serif" w:hAnsi="sans-serif" w:eastAsia="sans-serif" w:cs="sans-serif"/>
          <w:i w:val="0"/>
          <w:iCs w:val="0"/>
          <w:caps w:val="0"/>
          <w:color w:val="000000"/>
          <w:spacing w:val="0"/>
          <w:sz w:val="21"/>
          <w:szCs w:val="21"/>
        </w:rPr>
      </w:pPr>
      <w:r>
        <w:rPr>
          <w:rFonts w:hint="default" w:ascii="sans-serif" w:hAnsi="sans-serif" w:eastAsia="sans-serif" w:cs="sans-serif"/>
          <w:i w:val="0"/>
          <w:iCs w:val="0"/>
          <w:caps w:val="0"/>
          <w:color w:val="000000"/>
          <w:spacing w:val="0"/>
          <w:kern w:val="0"/>
          <w:sz w:val="21"/>
          <w:szCs w:val="21"/>
          <w:bdr w:val="none" w:color="auto" w:sz="0" w:space="0"/>
          <w:shd w:val="clear" w:fill="FFFFFF"/>
          <w:vertAlign w:val="baseline"/>
          <w:lang w:val="en-US" w:eastAsia="zh-CN" w:bidi="ar"/>
        </w:rPr>
        <w:t>2026年04月20日     发布机构：省公安厅      【字体：</w:t>
      </w:r>
      <w:r>
        <w:rPr>
          <w:rFonts w:hint="default" w:ascii="sans-serif" w:hAnsi="sans-serif" w:eastAsia="sans-serif" w:cs="sans-serif"/>
          <w:i w:val="0"/>
          <w:iCs w:val="0"/>
          <w:caps w:val="0"/>
          <w:color w:val="666666"/>
          <w:spacing w:val="0"/>
          <w:kern w:val="0"/>
          <w:sz w:val="18"/>
          <w:szCs w:val="18"/>
          <w:bdr w:val="none" w:color="auto" w:sz="0" w:space="0"/>
          <w:shd w:val="clear" w:fill="FFFFFF"/>
          <w:vertAlign w:val="baseline"/>
          <w:lang w:val="en-US" w:eastAsia="zh-CN" w:bidi="ar"/>
        </w:rPr>
        <w:t>大</w:t>
      </w:r>
      <w:r>
        <w:rPr>
          <w:rFonts w:hint="default" w:ascii="sans-serif" w:hAnsi="sans-serif" w:eastAsia="sans-serif" w:cs="sans-serif"/>
          <w:i w:val="0"/>
          <w:iCs w:val="0"/>
          <w:caps w:val="0"/>
          <w:color w:val="000000"/>
          <w:spacing w:val="0"/>
          <w:kern w:val="0"/>
          <w:sz w:val="21"/>
          <w:szCs w:val="21"/>
          <w:bdr w:val="none" w:color="auto" w:sz="0" w:space="0"/>
          <w:shd w:val="clear" w:fill="FFFFFF"/>
          <w:vertAlign w:val="baseline"/>
          <w:lang w:val="en-US" w:eastAsia="zh-CN" w:bidi="ar"/>
        </w:rPr>
        <w:t> </w:t>
      </w:r>
      <w:r>
        <w:rPr>
          <w:rFonts w:hint="default" w:ascii="sans-serif" w:hAnsi="sans-serif" w:eastAsia="sans-serif" w:cs="sans-serif"/>
          <w:b/>
          <w:bCs/>
          <w:i w:val="0"/>
          <w:iCs w:val="0"/>
          <w:caps w:val="0"/>
          <w:color w:val="015293"/>
          <w:spacing w:val="0"/>
          <w:kern w:val="0"/>
          <w:sz w:val="18"/>
          <w:szCs w:val="18"/>
          <w:bdr w:val="none" w:color="auto" w:sz="0" w:space="0"/>
          <w:shd w:val="clear" w:fill="FFFFFF"/>
          <w:vertAlign w:val="baseline"/>
          <w:lang w:val="en-US" w:eastAsia="zh-CN" w:bidi="ar"/>
        </w:rPr>
        <w:t>中</w:t>
      </w:r>
      <w:r>
        <w:rPr>
          <w:rFonts w:hint="default" w:ascii="sans-serif" w:hAnsi="sans-serif" w:eastAsia="sans-serif" w:cs="sans-serif"/>
          <w:i w:val="0"/>
          <w:iCs w:val="0"/>
          <w:caps w:val="0"/>
          <w:color w:val="000000"/>
          <w:spacing w:val="0"/>
          <w:kern w:val="0"/>
          <w:sz w:val="21"/>
          <w:szCs w:val="21"/>
          <w:bdr w:val="none" w:color="auto" w:sz="0" w:space="0"/>
          <w:shd w:val="clear" w:fill="FFFFFF"/>
          <w:vertAlign w:val="baseline"/>
          <w:lang w:val="en-US" w:eastAsia="zh-CN" w:bidi="ar"/>
        </w:rPr>
        <w:t> </w:t>
      </w:r>
      <w:r>
        <w:rPr>
          <w:rFonts w:hint="default" w:ascii="sans-serif" w:hAnsi="sans-serif" w:eastAsia="sans-serif" w:cs="sans-serif"/>
          <w:i w:val="0"/>
          <w:iCs w:val="0"/>
          <w:caps w:val="0"/>
          <w:color w:val="666666"/>
          <w:spacing w:val="0"/>
          <w:kern w:val="0"/>
          <w:sz w:val="18"/>
          <w:szCs w:val="18"/>
          <w:bdr w:val="none" w:color="auto" w:sz="0" w:space="0"/>
          <w:shd w:val="clear" w:fill="FFFFFF"/>
          <w:vertAlign w:val="baseline"/>
          <w:lang w:val="en-US" w:eastAsia="zh-CN" w:bidi="ar"/>
        </w:rPr>
        <w:t>小</w:t>
      </w:r>
      <w:r>
        <w:rPr>
          <w:rFonts w:hint="default" w:ascii="sans-serif" w:hAnsi="sans-serif" w:eastAsia="sans-serif" w:cs="sans-serif"/>
          <w:i w:val="0"/>
          <w:iCs w:val="0"/>
          <w:caps w:val="0"/>
          <w:color w:val="000000"/>
          <w:spacing w:val="0"/>
          <w:kern w:val="0"/>
          <w:sz w:val="21"/>
          <w:szCs w:val="21"/>
          <w:bdr w:val="none" w:color="auto" w:sz="0" w:space="0"/>
          <w:shd w:val="clear" w:fill="FFFFFF"/>
          <w:vertAlign w:val="baseline"/>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第二章　协同支持体系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第三章　预防犯罪教育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第四章　不良行为干预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第五章　严重不良行为矫治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第六章　重新犯罪预防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第七章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第一条　为了保障未成年人身心健康，培养未成年人良好品行，有效预防未成年人违法犯罪，根据《中华人民共和国预防未成年人犯罪法》和有关法律、行政法规，结合本省实际，制定本条例。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第二条　本省行政区域内未成年人犯罪的预防，适用本条例。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第三条　预防未成年人犯罪，立足于教育和保护未成年人相结合，坚持预防为主、提前干预，根据未成年人不同年龄的生理、心理特点和行为特征，对未成年人的不良行为和严重不良行为及时进行分级预防、干预、矫治。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开展预防未成年人犯罪工作，应当尊重未成年人人格尊严，保护未成年人的名誉权、隐私权和个人信息等合法权益。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第四条　本省将预防未成年人犯罪工作纳入平安河北建设，坚持党委领导、政府组织、部门协同、社会参与，实行综合治理。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预防未成年人犯罪是全社会的共同责任。国家机关、人民团体、社会组织、企业事业单位、居民委员会、村民委员会、学校、家庭等各负其责、相互配合，共同做好预防未成年人犯罪工作，及时消除滋生未成年人违法犯罪行为的各种消极因素，为未成年人身心健康发展创造良好的社会环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任何组织或者个人不得教唆、胁迫、引诱未成年人实施不良行为或者严重不良行为，不得为未成年人实施上述行为提供条件。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第五条　各级人民政府在预防未成年人犯罪方面的职责是：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（一）制定预防未成年人犯罪工作规划；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（二）组织有关部门和单位开展预防未成年人犯罪工作；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（三）为预防未成年人犯罪工作提供政策支持和经费保障，将相关经费纳入本级财政预算；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（四）对有关法律、法规实施情况和工作规划执行情况进行检查；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（五）组织开展预防未成年人犯罪宣传教育；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（六）其他预防未成年人犯罪工作职责。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教育、司法行政、网信、人力资源和社会保障、文化和旅游、卫生健康、市场监督管理、民政、新闻出版、电影、广播电视、通信管理等有关部门，人民检察院、人民法院，县级以上人民政府负责妇女儿童工作的机构，按照各自职责做好预防未成年人犯罪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居民委员会、村民委员会在乡镇人民政府和街道办事处指导下，做好预防未成年人犯罪有关工作。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第六条　省、设区的市、县（市、区）应当建立健全预防未成年人犯罪工作推进机制，明确有关部门和单位职责，加强统筹协调，及时解决预防未成年人犯罪工作中的重大问题。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有关主管机关应当将预防未成年人犯罪工作纳入平安建设考核体系，建立健全督导检查和挂牌督办制度，指导督促有关地区和单位对存在的风险隐患和突出问题及时整改。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第七条　本省应当加强与北京市、天津市等周边省份预防未成年人犯罪工作的交流与协作，建立健全省内跨行政区域工作联动机制，加强信息共享、协同联动。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第八条　各级人民政府对预防未成年人犯罪工作有显著成绩的组织和个人，按照国家和本省有关规定给予表彰和奖励。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第二章　协同支持体系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第九条　本省建立健全部门协同、基层联动、社会支持、公众参与的预防未成年人犯罪工作协同支持体系，加强对未成年人违法犯罪的预防和治理，提高预防未成年人犯罪工作的专业化、规范化、社会化、数智化水平。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第十条　县级以上人民政府及有关部门、人民检察院、人民法院应当按照各自职责加强预防未成年人犯罪工作协同支持体系建设。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共产主义青年团、妇女联合会、工会、残疾人联合会、关心下一代工作委员会、青年联合会、学生联合会、少年先锋队以及有关社会组织，应当协助各级人民政府及有关部门、人民检察院和人民法院，做好预防未成年人犯罪工作，为预防未成年人犯罪培育社会力量，提供支持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第十一条　各级人民政府及有关主管机关应当统筹有关部门、学校、居民委员会、村民委员会以及有关社会组织，建立监测预防、发现报告、评估转介、关爱帮扶、处置干预的联动反应机制，充分发挥社会工作者、基层治理网格员、志愿者等社会力量，依托学校、社区综合服务平台、社区矫正机构等，全面掌握辖区内未成年人基本状况，实行动态监测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国家机关、居民委员会、村民委员会、密切接触未成年人的单位及其工作人员，在工作中发现未成年人身心健康受到侵害、疑似受到侵害或者面临其他危险情形的，应当立即向公安机关、教育行政等有关部门报告。有关部门接到报告应当依法及时受理、处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第十二条　本省培育、引导和规范社会工作服务机构等社会组织、社会工作者参与预防未成年人犯罪工作。有关部门和单位可以通过政府购买服务等方式，委托社会工作服务机构等社会组织开展预防未成年人犯罪的宣传教育、家庭教育指导、心理辅导和司法社会服务等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社会工作服务机构等社会组织应当加强专业能力建设，开展专业服务，提高服务质量。社会工作服务机构、社会工作者对服务过程中获取的未成年人相关信息，应当依法予以保密。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第十三条　公安机关、人民检察院、人民法院、司法行政、教育、人力资源和社会保障、民政、社会工作等部门以及共产主义青年团、妇女联合会等人民团体应当根据需要，加强未成年人社会工作专业人员培养、使用和志愿服务队伍建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公安机关、人民检察院、人民法院、司法行政部门应当由专门机构或者经过专业培训、熟悉未成年人身心特点的专门人员负责预防未成年人犯罪工作，建立健全人才储备和培养机制。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第十四条　网信及其他有关部门应当依法惩处利用网络从事危害未成年人身心健康的活动。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任何组织和个人不得通过网络以文字、图片、音视频等形式，组织、教唆、胁迫、引诱、欺骗、帮助未成年人实施违法犯罪行为。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网络产品和服务提供者应当加强对用户发布信息的管理，发现危害或者可能影响未成年人身心健康信息的，应当立即采取有效措施，防止信息扩散，保存有关记录，及时向网信、公安等有关部门报告。有关部门接到报告后应当依法及时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第十五条　县级以上人民政府应当加强预防未成年人犯罪工作信息化建设，组织有关部门依法做好信息共享、隐患排查和犯罪预警工作，对未成年人违法犯罪相关信息进行识别、分析、预警，提高科学研判、分级分类干预处置的能力和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相关部门及其工作人员在预防未成年人犯罪工作中知悉的未成年人隐私、个人信息等，应当依法予以保密，不得泄露、篡改、毁损，不得出售或者非法向他人提供。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第十六条　本省发挥12355青少年服务热线功能，推动完善与12356心理援助热线、12348公共法律服务热线、12338妇女维权服务热线、12309检察服务热线等的合作和转介机制，提供预防未成年人违法犯罪咨询、帮助，畅通线索发现和上报渠道，联动有关部门分级分类妥善处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第三章　预防犯罪教育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第十七条　政府、社会、学校和家庭应当对未成年人加强社会主义核心价值观教育，开展道德教育、法治教育、心理健康教育、生理教育、生命教育等预防犯罪相关教育，使未成年人树立遵纪守法和防范违法犯罪的意识，提高自我管控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第十八条　未成年人的父母或者其他监护人对未成年人的预防犯罪教育负有直接责任，应当依法履行监护职责，采取下列教育措施：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（一）树立优良家风，以良好品行教育影响未成年人，为其创造良好的家庭环境；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（二）关注未成年人的生理、心理状况和情感需求，经常与其进行思想交流，鼓励其参加各种有益身心健康的活动；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（三）加强对未成年人道德品质、心理健康、行为习惯、自我保护、法律知识等方面的教育，培养其是非观念和法治意识，提高识别、防范和应对不良信息和不法侵害的能力；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（四）发现未成年人心理或者行为异常的，及时了解情况并进行教育、引导和劝诫，必要时送相关专业机构诊治；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（五）配合学校、教育行政、司法机关、共产主义青年团、妇女联合会等相关部门及社会组织开展预防未成年人犯罪工作，主动接受家庭教育指导，学习科学的家庭教育理念和方法，提升监护能力。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未成年人的父母或者其他监护人，不得拒绝或者怠于履行监护职责。未成年人的父母分居或者离异的，应当相互配合做好未成年子女的预防犯罪教育。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第十九条　各级人民政府应当将家庭教育指导服务纳入城乡公共服务体系，开展家庭教育知识宣传，鼓励和支持有关人民团体、社会组织、企业事业单位开展家庭教育指导服务。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县级以上人民政府应当通过多种途径和方式确定家庭教育指导机构。家庭教育指导机构应当对辖区内社区家长学校、学校家长学校及其他家庭教育指导服务站点进行指导，及时向有需求的家庭提供服务。鼓励和支持依托学校、工人文化宫、青少年宫、妇女儿童活动中心、未成年人成长指导中心、未成年人社会实践基地、校外教育等公共机构，设立家庭教育指导服务站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有下列情形之一的，各级人民政府及有关部门、司法机关、共产主义青年团、妇女联合会、居民委员会、村民委员会、学校以及有关社会组织应当根据需求提供家庭教育指导服务：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（一）沉迷网络、实施中小学生欺凌等不良行为的未成年人家庭；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（二）离异或者重组家庭、父母长期分居家庭、收养家庭、留守未成年人家庭、残疾人家庭、曾遭受违法犯罪侵害的未成年人家庭；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（三）强制隔离戒毒人员家庭、服刑人员家庭；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（四）父母或者其他监护人侵犯未成年人合法权益；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（五）父母或者其他监护人对未成年人监护教育不当或者失管失教的其他情形。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第二十条　教育行政部门、学校应当将预防未成年人犯罪教育纳入学校教学计划，采取多种方式对未成年学生进行有针对性的预防犯罪教育。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学校应当聘任从事法治教育的专职或者兼职教师，并按照国家有关规定，从公安机关、人民检察院、人民法院、司法行政部门聘任法治副校长，根据需要聘任校外法治辅导员。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法治副校长、校外法治辅导员应当参与制定学校法治教育工作计划，承担或者组织落实法治教育任务，指导、协助学校开展预防未成年人犯罪、学生欺凌防治等工作，协助学校、公安机关等按照法律法规及相关规定对有不良行为、严重不良行为的学生予以训导、训诫等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公安机关、人民检察院、人民法院、司法行政部门以及律师协会等社会组织，应当支持学校按照教育教学计划开展法治教育，提供法治实践教育资源，支持教育行政部门、学校开发法治教育课程。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第二十一条　学校应当建立健全学生心理健康教育管理制度，配备专职或者兼职的心理健康教育教师，按照规定设立心理辅导室，开设心理健康课程，对未成年学生进行心理健康教育与辅导。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可以根据实际与专业心理健康机构合作，为未成年学生提供心理健康筛查、咨询辅导与早期干预服务，预防和处理学生心理、行为异常问题。发现可能患有精神障碍的，应当立即告知其父母或者其他监护人送相关专业机构诊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学校应当根据未成年人身心发展特点，进行社会生活指导、心理健康辅导、青春期教育、生命教育和性教育。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第二十二条　教育行政部门应当会同有关部门建立健全学生欺凌防控制度，将防治学生欺凌工作纳入学校年度考核，加强督导检查。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应当按照规定成立学生欺凌治理委员会，对教职员工、学生等开展防治学生欺凌的教育和培训，健全工作制度，建立完善学生欺凌发现、认定和处置的工作流程，健全早期预警、事中处理以及事后干预机制。加强日常安全管理和校园智慧安防建设，严格排查并及时消除可能导致欺凌行为发生的各种隐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未成年学生父母或者其他监护人应当支持和配合学校共同做好学生欺凌防控工作。任何组织或者个人都有权向学校或者公安机关、教育行政等部门举报学生欺凌行为，并有权劝阻和制止。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第二十三条　学校一经发现学生欺凌行为应当立即制止，并通知实施欺凌和被欺凌学生的父母或者其他监护人参与欺凌行为的认定和处理。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学校应当根据欺凌行为的性质和程度，对实施欺凌的未成年学生依法加强管教。对严重的欺凌行为，学校应当及时向公安机关、教育行政部门报告，并配合相关部门依法处理，不得瞒报、谎报。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第二十四条　各级人民政府及有关部门、司法机关、共产主义青年团、妇女联合会、法学会等人民团体、有关社会组织应当结合实际，组织、举办多种形式的预防未成年人犯罪宣传教育活动。支持、指导和帮助居民委员会、村民委员会积极开展有针对性的预防未成年人犯罪宣传教育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新闻媒体应当履行公益法治宣传义务，宣传预防未成年人犯罪的法律法规，播出或者刊登有关公益广告、宣传片，引导未成年人自觉抵制各种不良行为和违法犯罪行为的诱惑和侵害。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禁止制作、复制、出版、发布、传播含有宣扬淫秽、色情、暴力、邪教、迷信、赌博、恐怖主义、分裂主义、极端主义、引诱自杀、教唆犯罪或者传授犯罪方法等危害未成年人身心健康内容的图书、报刊、电影、广播电视节目、舞台艺术作品、音像制品、电子出版物和网络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第二十五条　省、设区的市、县（市、区）应当加强青少年法治教育基地建设，依托青少年宫、妇女儿童活动中心等未成年人活动场所、新时代文明实践中心开展多种形式的法治宣传教育活动。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公安机关、人民检察院、人民法院依法开展未成年人社会观护工作，并可以依托符合观护条件的社会组织、有关机构建立未成年人观护教育基地。支持和鼓励社会组织、有关机构参与观护教育工作。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专门学校、未成年犯管教所可以根据实际情况，在场所内为有需要的学校提供法治宣传教育。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第四章　不良行为干预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第二十六条　本条例所称不良行为，是指未成年人实施的不利于其健康成长的下列行为：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（一）吸烟（含电子烟）、饮酒；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（二）滥用成瘾性药物；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（三）多次旷课、逃学；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（四）无故夜不归宿、离家出走；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（五）沉迷网络；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（六）与社会上具有不良习性的人交往，组织或者参加实施不良行为的团伙；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（七）进入法律法规规定未成年人不宜进入的场所；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（八）参与赌博、变相赌博，或者参加封建迷信、邪教等活动；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（九）阅览、观看或者收听宣扬淫秽、色情、暴力、恐怖、极端等内容的读物、音像制品或者网络信息等；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（十）其他不利于未成年人身心健康成长的不良行为。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第二十七条　未成年人的父母或者其他监护人发现未成年人有不良行为的，应当及时制止，正确引导，帮助其认识不良行为的性质和后果，督促其改正并加强管教。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干预未成年人不良行为遇到困难的，可以向有关国家机关、人民团体、学校、居民委员会、村民委员会或者有关社会组织等寻求帮助；相关单位或者组织应当及时提供帮助。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第二十八条　公安机关、居民委员会、村民委员会发现本辖区内未成年人有不良行为的，应当及时制止，督促其父母或者其他监护人依法履行监护职责。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人的父母或者其他监护人不依法履行监护职责或者侵犯未成年人合法权益的，由其居住地的居民委员会、村民委员会予以劝诫、制止；情节严重的，居民委员会、村民委员会应当及时向公安机关报告。公安机关接到报告，发现未成年人的父母或者其他监护人存在上述情形的，应当予以训诫，并可以责令其接受家庭教育指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第二十九条　学校对有不良行为的未成年学生，应当加强管理教育，不得歧视；对拒不改正或者情节严重的，学校可以根据情况予以处分或者采取以下管理教育措施：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（一）予以训导；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（二）要求遵守特定的行为规范；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（三）要求参加特定的专题教育；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（四）要求参加校内服务活动；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（五）要求接受社会工作者或者其他专业人员的心理辅导和行为干预；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（六）其他适当的管理教育措施。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未成年学生偷窃少量财物，或者有殴打、辱骂、恐吓、强行索要财物等欺凌行为，情节轻微的，可以由学校依照前款规定采取相应的管理教育措施。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第三十条　学校和家庭应当加强沟通，建立家校合作机制。学校决定对未成年学生采取管理教育措施的，应当及时告知其父母或者其他监护人；未成年学生的父母或者其他监护人应当支持、配合学校进行管理教育。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第三十一条　各级人民政府及有关部门、学校、未成年人的父母或者其他监护人应当依法保障未成年人接受义务教育的权利，防止其失学、辍学。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学校应当落实学籍管理制度，健全义务教育阶段未成年学生辍学或者休学、长期请假的报告备案制度。对尚未完成义务教育的辍学学生进行登记并劝返复学；劝返无效的，应当及时向教育行政部门书面报告。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第三十二条　设区的市、县、乡级人民政府应当对留守未成年人和困境未成年人家庭建档立卡，提供生活帮扶、创业就业支持等关爱服务，为其监护人履行监护职责、实施家庭教育创造条件。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居民委员会、村民委员会、学校应当按照规定建立留守未成年人、困境未成年人的信息档案，安排专人负责留守未成年人、困境未成年人的关爱帮扶，协助提供监护指导，开展生活帮助、精神关怀、心理疏导、返校复学等关爱服务，支持配合相关部门和社会组织等开展关爱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第三十三条　公安、教育、文化和旅游、市场监督管理等有关部门应当按照各自职责加强综合治理，维护治安秩序，净化校园及其周边环境。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营业性歌舞娱乐场所、酒吧、互联网上网服务营业场所以及其他法律法规规定未成年人不宜进入的场所，不得允许未成年人进入。游艺娱乐场所设置的电子游戏设备不得违规向未成年人提供。电竞酒店、剧本娱乐、台球厅等经营场所不得违规接待未成年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前款规定的营业场所应当在入口、大厅等显著位置设置禁止或者限制未成年人进入的标志，公布监督举报电话；对难以判明是否是未成年人的，应当要求其出示身份证件。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第三十四条　父母或者其他监护人、学校应当教育引导未成年人科学、文明、安全、合理使用网络，预防和干预未成年人沉迷网络。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新闻出版、教育、卫生健康、文化和旅游、广播电视、网信等相关部门应当定期开展预防未成年人沉迷网络的宣传教育、监督指导。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网络产品和服务提供者不得向未成年人提供诱导其沉迷的产品和服务。网络游戏、网络直播、网络音视频、网络社交等服务提供者应当针对未成年人设置相应的时间管理、权限管理、消费管理等功能。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第三十五条　父母或者其他监护人、学校应当对未成年人进行毒品危害教育，防止其吸食、注射毒品或者进行其他涉及毒品的违法犯罪活动。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公安机关应当会同教育、司法行政、卫生健康等部门，推动学校、社区和家庭禁毒教育联动，会同社会工作部门引导志愿者开展禁毒志愿活动，针对未成年人加强禁毒知识宣传和毒品犯罪预防教育。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第三十六条　学校、未成年人的父母或者其他监护人应当教育、引导未成年人自觉抵制文身行为。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任何组织或者个人不得胁迫、引诱、教唆未成年人文身，不得向未成年人提供文身服务。文身服务提供者应当在经营场所显著位置设置不向未成年人提供文身服务的标志，公布监督举报电话。对难以判明是否是未成年人的，应当要求其出示身份证件。市场监督管理、卫生健康等部门应当加强对文身服务提供者的监督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第三十七条　禁止向未成年人销售烟、酒、彩票或者兑付彩票奖金。烟、酒和彩票经营者应当在显著位置设置禁止向未成年人销售烟、酒或者彩票的标志，公布监督举报电话。对难以判明是否是未成年人的，应当要求其出示身份证件。市场监督管理、烟草专卖、民政、体育等部门应当加强对烟、酒和彩票经营者的监督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第五章　严重不良行为矫治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第三十八条　本条例所称严重不良行为，是指未成年人实施的有刑法规定、因不满法定刑事责任年龄不予刑事处罚的行为，以及严重危害社会的下列行为：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（一）结伙斗殴或者随意殴打他人，追逐、拦截他人，强拿硬要或者任意损毁、占用公私财物等寻衅滋事行为；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（二）非法携带枪支、弹药或者弩、匕首等国家规定的管制器具；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（三）殴打、辱骂、恐吓，或者故意伤害他人身体；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（四）盗窃、诈骗、哄抢、抢夺或者故意损毁公私财物；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（五）传播淫秽的读物、音像制品或者信息等；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（六）卖淫、嫖娼、猥亵他人，或者进行淫秽表演；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（七）吸食、注射毒品，或者向他人提供毒品；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（八）参与赌博赌资较大；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（九）其他严重危害社会的行为。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第三十九条　父母或者其他监护人发现未成年人有严重不良行为的，应当及时制止，采取措施严加管教，消除或者减轻违法后果。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学校发现未成年学生有严重不良行为的，应当及时制止，并向公安机关、教育行政部门报告，并配合相关部门依法处理。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任何组织或者个人发现未成年人有严重不良行为的，有权予以制止，并向公安机关举报。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公安机关接到报告、举报或者发现未成年人有严重不良行为的，应当及时制止，依法调查处理，并可以责令其父母或者其他监护人采取措施严加管教，消除或者减轻违法后果；对人身安全受到威胁的未成年人，应当立即采取有效保护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第四十条　对有严重不良行为的未成年人，公安机关可以根据具体情况，采取以下矫治教育措施：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（一）予以训诫；</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（二）责令赔礼道歉、赔偿损失；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（三）责令具结悔过；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（四）责令定期报告活动情况；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（五）责令遵守特定的行为规范，不得实施特定行为、接触特定人员或者进入特定场所；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（六）责令接受心理辅导、行为矫治；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（七）责令参加社会服务活动；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（八）责令接受社会观护，由社会组织、有关机构在适当场所对未成年人进行教育、监督和管束；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（九）其他适当的矫治教育措施。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有严重不良行为未成年人的父母或者其他监护人应当积极配合实施矫治教育措施，不得妨碍、阻挠矫治教育或者放任不管。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第四十一条　对有严重不良行为的未成年人，其父母或者其他监护人、所在学校无力管教或者管教无效的，可以向教育行政部门提出接受专门教育申请，经教育行政部门提请专门教育指导委员会评估同意后，由教育行政部门决定送入专门学校接受专门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未成年人有下列情形之一的，经专门教育指导委员会评估同意，教育行政部门会同公安机关可以决定将其送入专门学校接受专门教育：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（一）实施严重危害社会的行为，情节恶劣或者造成严重后果；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（二）多次实施严重危害社会的行为；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（三）拒不接受或者配合公安机关依法采取的矫治教育措施；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（四）法律、行政法规规定的其他情形。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第四十二条　未成年人实施刑法规定的行为、因不满法定刑事责任年龄不予刑事处罚的，经专门教育指导委员会评估同意，教育行政部门会同公安机关可以决定对其进行专门矫治教育。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实施专门矫治教育的专门学校按照分校区、分班级等方式设置专门场所，依法实行闭环管理，公安机关、司法行政部门负责未成年人的矫治工作，教育行政部门承担未成年人的教育工作。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第四十三条　专门学校应当对接受专门教育的未成年人分级分类进行教育和矫治。结合实际科学合理设置课程和教学内容，有针对性地开展道德教育、法治教育、心理健康教育；可以结合办学条件和实际需求开设高中阶段课程、开展职业教育；对没有完成义务教育的未成年人，应当保证其继续接受义务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第四十四条　专门学校应当在每个学期适时提请专门教育指导委员会对在校学生的情况进行评估。对经评估适合转回普通学校就读的，专门教育指导委员会应当提出书面建议，由原决定机关决定是否将未成年学生转回普通学校就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原决定机关决定将未成年学生转回普通学校的，其原所在学校不得拒绝接收；因特殊情况，不适宜转回原所在学校的，由教育行政部门安排转学。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第四十五条　专门学校应当与接受专门教育的未成年人的父母或者其他监护人加强联系，定期向其通报未成年人的教育和矫治情况，为父母或者其他监护人、亲属等看望未成年人提供便利。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第四十六条　教育、公安、民政、司法行政、人力资源和社会保障等有关部门以及共产主义青年团、妇女联合会等人民团体、有关社会组织应当与专门学校建立离校未成年学生帮教对接机制，对结束专门教育的未成年学生开展继续就学、困难帮扶、社会融入等帮教服务；对达到法定劳动年龄、有就业创业意愿的，加强职业指导和技能培训，帮助、引导其就业创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第四十七条　省人民政府应当将专门学校建设和专门教育纳入经济社会发展规划和教育事业发展规划。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县级以上人民政府根据需要设置专门学校，并建立经费、人员、教育场所和设施保障制度。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本省专门教育和专门矫治教育具体工作规范，由省专门教育指导委员会按照国家有关规定制定。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第四十八条　县级以上人民政府成立专门教育指导委员会。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专门教育指导委员会由教育、民政、财政、人力资源和社会保障、公安、司法行政、人民检察院、人民法院、共产主义青年团、妇女联合会、关心下一代工作委员会、专门学校等单位，以及法律、教育、心理、社会工作等方面的专家组成，研究确定专门学校教学、管理等相关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第四十九条　有关部门、人民团体、居民委员会、村民委员会、学校和有关社会组织应当加强与不在学、未就业的未成年人联系，进行针对性的教育帮扶。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各级主管机关、教育行政、人力资源和社会保障等部门，应当为已经完成义务教育、有就学就业意愿的未成年人提供便利。对有就学意愿的，鼓励和支持其接受职业教育或者继续教育；对符合就业条件的，提供就业创业指导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第六章　重新犯罪预防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第五十条　公安机关、人民检察院、人民法院办理未成年人案件，应当将法治教育贯穿办案全过程。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对涉刑事案件的未成年人进行教育，其父母或者其他监护人应当配合；其法定代理人以外的成年亲属或者教师、辅导员等参与有利于感化、挽救未成年人的，公安机关、人民检察院、人民法院应当邀请其参加有关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第五十一条　人民检察院依法办理涉及未成年人犯罪的案件，并对案件的立案、侦查和审判等诉讼活动及预防未成年人重新犯罪工作等进行监督。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人民法院应当依法审理涉及未成年人犯罪的案件，加强少年法庭建设，贯彻宽严相济的刑事政策，采用适合未成年人的方式审理案件。探索在审判卷之外建立保护预防卷，规范未成年人延伸保护工作，落实社会调查、心理疏导、家庭教育指导、司法救助、判后回访等措施，加强未成年人权益保护和违法犯罪预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第五十二条　公安机关、人民检察院、人民法院办理未成年人刑事案件，可以自行或者委托有关社会组织、机构对未成年犯罪嫌疑人或者被告人的成长经历、犯罪原因、监护、教育等情况进行社会调查；根据实际需要并经未成年犯罪嫌疑人、被告人及其法定代理人同意，可以对未成年犯罪嫌疑人、被告人进行心理测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社会调查和心理测评的报告可以作为办理案件和教育未成年人的参考。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第五十三条　被拘留、逮捕以及在未成年犯管教所执行刑罚的未成年人，应当和成年人分别关押、管理和教育。对未成年人的社区矫正和戒毒，应当和成年人分别进行。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未成年犯管教所、社区矫正机构应当针对未成年犯、未成年社区矫正对象的案情、刑期、心理特点和改造表现，制定个别化矫治方案。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第五十四条　司法行政部门应当依法履行安置帮教工作职责，与教育、公安、人力资源和社会保障、住房城乡建设、民政、卫生健康、市场监督管理等部门协同配合，做好刑满释放和接受社区矫正的未成年人的就学就业、心理疏导、技能培训、帮扶救助等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未成年人的父母或者其他监护人和学校、居民委员会、村民委员会对刑满释放、接受社区矫正的未成年人，应当协助有关部门做好安置帮教工作。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刑满释放和接受社区矫正的未成年人在复学、升学、就业等方面依法享有与其他未成年人同等的权利，任何单位和个人不得歧视。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第五十五条　有下列情形之一，公安机关、人民检察院、人民法院可以依法责令未成年人的父母或者其他监护人接受家庭教育指导：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（一）未成年人被公安机关处以行政处罚，或者因未达到法定年龄不予行政处罚的；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（二）未成年人因犯罪情节轻微被人民检察院依法作出不起诉决定，或者被人民检察院依法作出附条件不起诉决定的；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（三）未成年人被依法追究刑事责任或者因不满刑事责任年龄不予刑事处罚的；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（四）未成年人遭受父母或者其他监护人侵害的；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（五）妨碍阻挠实施矫治教育措施或者放任不管等拒不履行家庭教育责任的；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（六）应当接受家庭教育指导的其他情形。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第五十六条　未成年人的犯罪记录依法被封存的，公安机关、人民检察院、人民法院和司法行政部门不得向任何单位或者个人提供，但司法机关因办案需要或者有关单位根据国家有关规定进行查询的除外。依法进行查询的单位和个人应当对相关记录信息予以保密。保密的信息包括办案过程中形成的案卷材料和电子档案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未成年人接受专门矫治教育、专门教育的记录，以及被行政处罚、采取刑事强制措施和不起诉的记录，适用前款规定。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第五十七条　公安机关、人民检察院、人民法院和司法行政部门发现有关单位预防未成年人犯罪工作存在问题的，可以向其提出书面意见建议，有关单位应当及时处理并书面反馈。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第七章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第五十八条　国家机关及其工作人员在预防未成年人犯罪工作中滥用职权、玩忽职守、徇私舞弊的，对直接负责的领导人员和直接责任人员，依法给予处分。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第五十九条　公安机关、人民检察院、人民法院在办理案件过程中发现实施严重不良行为的未成年人的父母或者其他监护人不依法履行监护职责的，应当予以训诫，并可以通过训诫书、督促监护令、家庭教育指导令等形式责令其接受家庭教育指导，督促其履行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第六十条　学校及其教职员工违反本条例规定，不履行预防未成年人犯罪工作职责，或者虐待、歧视相关未成年人的，由教育行政等部门责令改正，通报批评；情节严重的，对直接负责的主管人员和其他直接责任人员依法给予处分。构成违反治安管理行为的，由公安机关依法予以治安管理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第六十一条　有关社会组织、机构及其工作人员虐待、歧视接受社会观护的未成年人，或者出具虚假社会调查、心理测评报告的，由民政、司法行政等部门对直接负责的主管人员或者其他直接责任人员依法给予处分，构成违反治安管理行为的，由公安机关依法予以治安管理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第六十二条　教唆、胁迫、引诱未成年人实施不良行为或者严重不良行为，构成违反治安管理行为的，由公安机关依法予以治安管理处罚。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第六十三条　违反本条例规定的行为，法律、行政法规已规定法律责任的，从其规定。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Style w:val="5"/>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第八章　附则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525" w:lineRule="atLeast"/>
        <w:ind w:left="0" w:right="0" w:firstLine="420"/>
        <w:jc w:val="both"/>
        <w:textAlignment w:val="baseline"/>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kern w:val="0"/>
          <w:sz w:val="24"/>
          <w:szCs w:val="24"/>
          <w:bdr w:val="none" w:color="auto" w:sz="0" w:space="0"/>
          <w:shd w:val="clear" w:fill="FFFFFF"/>
          <w:vertAlign w:val="baseline"/>
          <w:lang w:val="en-US" w:eastAsia="zh-CN" w:bidi="ar"/>
        </w:rPr>
        <w:t>第六十四条　本条例自2026年5月1日起施行。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CD554D"/>
    <w:rsid w:val="0523046A"/>
    <w:rsid w:val="23CD554D"/>
    <w:rsid w:val="627B5A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2026-04-30T03:13:00Z</dcterms:created>
  <dc:creator>Administrator</dc:creator>
  <cp:lastModifiedBy>Administrator</cp:lastModifiedBy>
  <dcterms:modified xsi:type="dcterms:W3CDTF">2026-04-30T03:14:16Z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4DAED22B24BF44F5A8E69A1EF02BDE7D</vt:lpwstr>
  </property>
</Properties>
</file>