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855DC0">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4F3D9C40">
      <w:pPr>
        <w:spacing w:line="560" w:lineRule="exact"/>
        <w:jc w:val="center"/>
        <w:rPr>
          <w:rFonts w:ascii="宋体" w:hAnsi="宋体" w:cs="宋体"/>
          <w:b/>
          <w:bCs/>
          <w:sz w:val="44"/>
          <w:szCs w:val="44"/>
        </w:rPr>
      </w:pPr>
    </w:p>
    <w:p w14:paraId="6A5DDC48">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赵县发展和改革局</w:t>
      </w:r>
    </w:p>
    <w:p w14:paraId="6A436B5E">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311C47B8">
      <w:pPr>
        <w:spacing w:line="560" w:lineRule="exact"/>
        <w:jc w:val="center"/>
        <w:rPr>
          <w:rFonts w:ascii="华文楷体" w:eastAsia="华文楷体"/>
          <w:sz w:val="32"/>
          <w:szCs w:val="32"/>
        </w:rPr>
      </w:pPr>
    </w:p>
    <w:p w14:paraId="5E009A4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贯彻落实县委、政府《全面落实预算绩效管理的实施意见》（[2019]77）文件精神，遵循“科学性、规范性、客观性和公正性”的原则，对</w:t>
      </w:r>
      <w:r>
        <w:rPr>
          <w:rFonts w:hint="eastAsia" w:ascii="仿宋" w:hAnsi="仿宋" w:eastAsia="仿宋"/>
          <w:sz w:val="32"/>
          <w:szCs w:val="32"/>
          <w:lang w:val="en-US" w:eastAsia="zh-CN"/>
        </w:rPr>
        <w:t>赵县发展和改革局</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282FAAD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3B79DE8">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42E44C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1、主要职能。</w:t>
      </w:r>
    </w:p>
    <w:p w14:paraId="4FC456D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根据文件精神，我局主要职责如下：拟定并组织实施全县国民经济和社会发展战略、中长期规划和年度计划，统筹协调经济社会发展，研究分析经济形势，提出全县国民经济发展和优化结构的目标、政策。 负责监测经济和社会发展态势，承担预测预警和信息引导的责任，负责提出全县价格总水平年度调控计划和调控目标；监测、预测全县价格总水平及其结构变动趋势，提出调控建议。承担指导推进和综合协调经济体制改革的责任，承担规划重大建设项目和生产力布局的责任；组织、指导全县经济技术交流工作，促进区域经济技术合作；推进经济结构战略性调整，发展节能减排的综合协调工作，按规定指导和协调全县招标投标工作，贯彻执行价格（收费）方面的法律、法规、方针和政策，发展对商品及服务价格进行调价前期监审工作。负责组织各类科学研究与发展计划的申报并指导实施；负责高新技术企业、高新技术产品、科技型中小企业和科技园区的认定申报工作。负责全县科技成果、科技奖励、技术市场、科技信息、科普活动的统计工作。负责落实粮食最低收购价政策；组织指导全县粮食市场供应，保障粮食供应；建立和完善县级粮食储备制度，负责县级储备粮的行政管理工作。提出粮食政策性资金和专项资金的安排、使用建议；管理有关粮食流通设施投资项目，落实国家和省市粮食流通设施投资，组织实施工程建设。负责全县社会粮食流通、仓储设施、粮油加工的行业管理和统计工作；推动粮食流通行业技术改造和新技术推广；负责行业对外交流和合作；指导粮食企业改革和产业化发展。</w:t>
      </w:r>
    </w:p>
    <w:p w14:paraId="17E4E557">
      <w:pPr>
        <w:ind w:firstLine="640" w:firstLineChars="200"/>
        <w:rPr>
          <w:rFonts w:ascii="仿宋" w:hAnsi="仿宋" w:eastAsia="仿宋"/>
          <w:color w:val="333333"/>
          <w:sz w:val="32"/>
          <w:szCs w:val="32"/>
          <w:shd w:val="clear" w:color="auto" w:fill="FFFFFF"/>
        </w:rPr>
      </w:pPr>
      <w:r>
        <w:rPr>
          <w:rFonts w:hint="eastAsia" w:ascii="仿宋" w:hAnsi="仿宋" w:eastAsia="仿宋"/>
          <w:color w:val="333333"/>
          <w:sz w:val="32"/>
          <w:szCs w:val="32"/>
          <w:shd w:val="clear" w:color="auto" w:fill="FFFFFF"/>
        </w:rPr>
        <w:t>2</w:t>
      </w:r>
      <w:r>
        <w:rPr>
          <w:rFonts w:hint="eastAsia" w:ascii="仿宋" w:hAnsi="仿宋" w:eastAsia="仿宋"/>
          <w:color w:val="333333"/>
          <w:sz w:val="32"/>
          <w:szCs w:val="32"/>
          <w:shd w:val="clear" w:color="auto" w:fill="FFFFFF"/>
          <w:lang w:eastAsia="zh-CN"/>
        </w:rPr>
        <w:t>、</w:t>
      </w:r>
      <w:r>
        <w:rPr>
          <w:rFonts w:hint="eastAsia" w:ascii="仿宋" w:hAnsi="仿宋" w:eastAsia="仿宋"/>
          <w:color w:val="333333"/>
          <w:sz w:val="32"/>
          <w:szCs w:val="32"/>
          <w:shd w:val="clear" w:color="auto" w:fill="FFFFFF"/>
        </w:rPr>
        <w:t>机构情况</w:t>
      </w:r>
    </w:p>
    <w:p w14:paraId="210CEE52">
      <w:pPr>
        <w:ind w:firstLine="600" w:firstLineChars="200"/>
        <w:jc w:val="center"/>
        <w:outlineLvl w:val="0"/>
        <w:rPr>
          <w:rFonts w:ascii="仿宋" w:hAnsi="仿宋" w:eastAsia="仿宋"/>
          <w:sz w:val="30"/>
          <w:szCs w:val="30"/>
        </w:rPr>
      </w:pPr>
      <w:r>
        <w:rPr>
          <w:rFonts w:hint="eastAsia" w:ascii="仿宋" w:hAnsi="仿宋" w:eastAsia="仿宋"/>
          <w:sz w:val="30"/>
          <w:szCs w:val="30"/>
        </w:rPr>
        <w:t>部门机构设置情况</w:t>
      </w:r>
    </w:p>
    <w:tbl>
      <w:tblPr>
        <w:tblStyle w:val="6"/>
        <w:tblW w:w="76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3"/>
        <w:gridCol w:w="1984"/>
        <w:gridCol w:w="1464"/>
        <w:gridCol w:w="2312"/>
      </w:tblGrid>
      <w:tr w14:paraId="3D27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1903" w:type="dxa"/>
            <w:vMerge w:val="restart"/>
            <w:vAlign w:val="center"/>
          </w:tcPr>
          <w:p w14:paraId="3FBE9A65">
            <w:pPr>
              <w:spacing w:line="300" w:lineRule="exact"/>
              <w:jc w:val="center"/>
              <w:rPr>
                <w:rFonts w:ascii="仿宋" w:hAnsi="仿宋" w:eastAsia="仿宋"/>
                <w:b/>
                <w:sz w:val="30"/>
                <w:szCs w:val="30"/>
              </w:rPr>
            </w:pPr>
            <w:r>
              <w:rPr>
                <w:rFonts w:hint="eastAsia" w:ascii="仿宋" w:hAnsi="仿宋" w:eastAsia="仿宋"/>
                <w:b/>
                <w:sz w:val="30"/>
                <w:szCs w:val="30"/>
              </w:rPr>
              <w:t>单位名称</w:t>
            </w:r>
          </w:p>
        </w:tc>
        <w:tc>
          <w:tcPr>
            <w:tcW w:w="1984" w:type="dxa"/>
            <w:vMerge w:val="restart"/>
            <w:vAlign w:val="center"/>
          </w:tcPr>
          <w:p w14:paraId="6747F887">
            <w:pPr>
              <w:spacing w:line="300" w:lineRule="exact"/>
              <w:jc w:val="center"/>
              <w:rPr>
                <w:rFonts w:ascii="仿宋" w:hAnsi="仿宋" w:eastAsia="仿宋"/>
                <w:b/>
                <w:sz w:val="30"/>
                <w:szCs w:val="30"/>
              </w:rPr>
            </w:pPr>
            <w:r>
              <w:rPr>
                <w:rFonts w:hint="eastAsia" w:ascii="仿宋" w:hAnsi="仿宋" w:eastAsia="仿宋"/>
                <w:b/>
                <w:sz w:val="30"/>
                <w:szCs w:val="30"/>
              </w:rPr>
              <w:t>单位性质</w:t>
            </w:r>
          </w:p>
        </w:tc>
        <w:tc>
          <w:tcPr>
            <w:tcW w:w="1464" w:type="dxa"/>
            <w:vMerge w:val="restart"/>
            <w:vAlign w:val="center"/>
          </w:tcPr>
          <w:p w14:paraId="05BD5349">
            <w:pPr>
              <w:spacing w:line="300" w:lineRule="exact"/>
              <w:jc w:val="center"/>
              <w:rPr>
                <w:rFonts w:ascii="仿宋" w:hAnsi="仿宋" w:eastAsia="仿宋"/>
                <w:b/>
                <w:sz w:val="30"/>
                <w:szCs w:val="30"/>
              </w:rPr>
            </w:pPr>
            <w:r>
              <w:rPr>
                <w:rFonts w:hint="eastAsia" w:ascii="仿宋" w:hAnsi="仿宋" w:eastAsia="仿宋"/>
                <w:b/>
                <w:sz w:val="30"/>
                <w:szCs w:val="30"/>
              </w:rPr>
              <w:t>单位规格</w:t>
            </w:r>
          </w:p>
        </w:tc>
        <w:tc>
          <w:tcPr>
            <w:tcW w:w="2312" w:type="dxa"/>
            <w:vMerge w:val="restart"/>
            <w:vAlign w:val="center"/>
          </w:tcPr>
          <w:p w14:paraId="7CE1FB49">
            <w:pPr>
              <w:spacing w:line="300" w:lineRule="exact"/>
              <w:jc w:val="center"/>
              <w:rPr>
                <w:rFonts w:ascii="仿宋" w:hAnsi="仿宋" w:eastAsia="仿宋"/>
                <w:b/>
                <w:sz w:val="30"/>
                <w:szCs w:val="30"/>
              </w:rPr>
            </w:pPr>
            <w:r>
              <w:rPr>
                <w:rFonts w:hint="eastAsia" w:ascii="仿宋" w:hAnsi="仿宋" w:eastAsia="仿宋"/>
                <w:b/>
                <w:sz w:val="30"/>
                <w:szCs w:val="30"/>
              </w:rPr>
              <w:t>经费保障形式</w:t>
            </w:r>
          </w:p>
        </w:tc>
      </w:tr>
      <w:tr w14:paraId="464C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1903" w:type="dxa"/>
            <w:vMerge w:val="continue"/>
            <w:vAlign w:val="center"/>
          </w:tcPr>
          <w:p w14:paraId="4C61F52B">
            <w:pPr>
              <w:spacing w:line="300" w:lineRule="exact"/>
              <w:ind w:firstLine="600" w:firstLineChars="200"/>
              <w:jc w:val="center"/>
              <w:outlineLvl w:val="0"/>
              <w:rPr>
                <w:rFonts w:ascii="仿宋" w:hAnsi="仿宋" w:eastAsia="仿宋"/>
                <w:sz w:val="30"/>
                <w:szCs w:val="30"/>
              </w:rPr>
            </w:pPr>
          </w:p>
        </w:tc>
        <w:tc>
          <w:tcPr>
            <w:tcW w:w="1984" w:type="dxa"/>
            <w:vMerge w:val="continue"/>
            <w:vAlign w:val="center"/>
          </w:tcPr>
          <w:p w14:paraId="5B4935C1">
            <w:pPr>
              <w:spacing w:line="300" w:lineRule="exact"/>
              <w:ind w:firstLine="600" w:firstLineChars="200"/>
              <w:jc w:val="center"/>
              <w:outlineLvl w:val="0"/>
              <w:rPr>
                <w:rFonts w:ascii="仿宋" w:hAnsi="仿宋" w:eastAsia="仿宋"/>
                <w:sz w:val="30"/>
                <w:szCs w:val="30"/>
              </w:rPr>
            </w:pPr>
          </w:p>
        </w:tc>
        <w:tc>
          <w:tcPr>
            <w:tcW w:w="1464" w:type="dxa"/>
            <w:vMerge w:val="continue"/>
            <w:vAlign w:val="center"/>
          </w:tcPr>
          <w:p w14:paraId="44AF72EC">
            <w:pPr>
              <w:spacing w:line="300" w:lineRule="exact"/>
              <w:ind w:firstLine="600" w:firstLineChars="200"/>
              <w:jc w:val="center"/>
              <w:outlineLvl w:val="0"/>
              <w:rPr>
                <w:rFonts w:ascii="仿宋" w:hAnsi="仿宋" w:eastAsia="仿宋"/>
                <w:sz w:val="30"/>
                <w:szCs w:val="30"/>
              </w:rPr>
            </w:pPr>
          </w:p>
        </w:tc>
        <w:tc>
          <w:tcPr>
            <w:tcW w:w="2312" w:type="dxa"/>
            <w:vMerge w:val="continue"/>
            <w:vAlign w:val="center"/>
          </w:tcPr>
          <w:p w14:paraId="73D3A7B9">
            <w:pPr>
              <w:spacing w:line="300" w:lineRule="exact"/>
              <w:ind w:firstLine="600" w:firstLineChars="200"/>
              <w:jc w:val="center"/>
              <w:outlineLvl w:val="0"/>
              <w:rPr>
                <w:rFonts w:ascii="仿宋" w:hAnsi="仿宋" w:eastAsia="仿宋"/>
                <w:sz w:val="30"/>
                <w:szCs w:val="30"/>
              </w:rPr>
            </w:pPr>
          </w:p>
        </w:tc>
      </w:tr>
      <w:tr w14:paraId="1816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903" w:type="dxa"/>
            <w:vAlign w:val="center"/>
          </w:tcPr>
          <w:p w14:paraId="04A69CA7">
            <w:pPr>
              <w:spacing w:line="300" w:lineRule="exact"/>
              <w:jc w:val="center"/>
              <w:rPr>
                <w:rFonts w:hint="default" w:ascii="仿宋" w:hAnsi="仿宋" w:eastAsia="仿宋"/>
                <w:sz w:val="30"/>
                <w:szCs w:val="30"/>
                <w:lang w:val="en-US" w:eastAsia="zh-CN"/>
              </w:rPr>
            </w:pPr>
            <w:r>
              <w:rPr>
                <w:rFonts w:hint="eastAsia" w:ascii="仿宋" w:hAnsi="仿宋" w:eastAsia="仿宋" w:cs="黑体"/>
                <w:sz w:val="30"/>
                <w:szCs w:val="30"/>
                <w:lang w:val="en-US" w:eastAsia="zh-CN"/>
              </w:rPr>
              <w:t>赵县发展和改革局</w:t>
            </w:r>
          </w:p>
        </w:tc>
        <w:tc>
          <w:tcPr>
            <w:tcW w:w="1984" w:type="dxa"/>
            <w:vAlign w:val="center"/>
          </w:tcPr>
          <w:p w14:paraId="2563B021">
            <w:pPr>
              <w:spacing w:line="300" w:lineRule="exact"/>
              <w:ind w:firstLine="750" w:firstLineChars="250"/>
              <w:rPr>
                <w:rFonts w:ascii="仿宋" w:hAnsi="仿宋" w:eastAsia="仿宋"/>
                <w:sz w:val="30"/>
                <w:szCs w:val="30"/>
              </w:rPr>
            </w:pPr>
            <w:r>
              <w:rPr>
                <w:rFonts w:hint="eastAsia" w:ascii="仿宋" w:hAnsi="仿宋" w:eastAsia="仿宋" w:cs="黑体"/>
                <w:sz w:val="30"/>
                <w:szCs w:val="30"/>
              </w:rPr>
              <w:t>行政</w:t>
            </w:r>
          </w:p>
        </w:tc>
        <w:tc>
          <w:tcPr>
            <w:tcW w:w="1464" w:type="dxa"/>
            <w:vAlign w:val="center"/>
          </w:tcPr>
          <w:p w14:paraId="71BD5936">
            <w:pPr>
              <w:spacing w:line="300" w:lineRule="exact"/>
              <w:rPr>
                <w:rFonts w:ascii="仿宋" w:hAnsi="仿宋" w:eastAsia="仿宋"/>
                <w:sz w:val="30"/>
                <w:szCs w:val="30"/>
              </w:rPr>
            </w:pPr>
            <w:r>
              <w:rPr>
                <w:rFonts w:hint="eastAsia" w:ascii="仿宋" w:hAnsi="仿宋" w:eastAsia="仿宋" w:cs="黑体"/>
                <w:sz w:val="30"/>
                <w:szCs w:val="30"/>
              </w:rPr>
              <w:t>正科级</w:t>
            </w:r>
          </w:p>
        </w:tc>
        <w:tc>
          <w:tcPr>
            <w:tcW w:w="2312" w:type="dxa"/>
            <w:vAlign w:val="center"/>
          </w:tcPr>
          <w:p w14:paraId="6AB3D3F1">
            <w:pPr>
              <w:spacing w:line="300" w:lineRule="exact"/>
              <w:ind w:firstLine="600" w:firstLineChars="200"/>
              <w:rPr>
                <w:rFonts w:ascii="仿宋" w:hAnsi="仿宋" w:eastAsia="仿宋"/>
                <w:sz w:val="30"/>
                <w:szCs w:val="30"/>
              </w:rPr>
            </w:pPr>
            <w:r>
              <w:rPr>
                <w:rFonts w:hint="eastAsia" w:ascii="仿宋" w:hAnsi="仿宋" w:eastAsia="仿宋" w:cs="黑体"/>
                <w:sz w:val="30"/>
                <w:szCs w:val="30"/>
              </w:rPr>
              <w:t>财政拨款</w:t>
            </w:r>
          </w:p>
        </w:tc>
      </w:tr>
    </w:tbl>
    <w:p w14:paraId="78687BF0">
      <w:pPr>
        <w:ind w:firstLine="640" w:firstLineChars="200"/>
        <w:rPr>
          <w:rFonts w:ascii="仿宋" w:hAnsi="仿宋" w:eastAsia="仿宋"/>
          <w:color w:val="333333"/>
          <w:sz w:val="32"/>
          <w:szCs w:val="32"/>
          <w:shd w:val="clear" w:color="auto" w:fill="FFFFFF"/>
        </w:rPr>
      </w:pPr>
      <w:r>
        <w:rPr>
          <w:rFonts w:hint="eastAsia" w:ascii="仿宋" w:hAnsi="仿宋" w:eastAsia="仿宋"/>
          <w:color w:val="333333"/>
          <w:sz w:val="32"/>
          <w:szCs w:val="32"/>
          <w:shd w:val="clear" w:color="auto" w:fill="FFFFFF"/>
        </w:rPr>
        <w:t xml:space="preserve">                     </w:t>
      </w:r>
    </w:p>
    <w:p w14:paraId="38666F1C">
      <w:pPr>
        <w:ind w:firstLine="640" w:firstLineChars="200"/>
        <w:rPr>
          <w:rFonts w:ascii="仿宋" w:hAnsi="仿宋" w:eastAsia="仿宋"/>
          <w:color w:val="333333"/>
          <w:sz w:val="32"/>
          <w:szCs w:val="32"/>
          <w:shd w:val="clear" w:color="auto" w:fill="FFFFFF"/>
        </w:rPr>
      </w:pPr>
      <w:r>
        <w:rPr>
          <w:rFonts w:hint="eastAsia" w:ascii="仿宋" w:hAnsi="仿宋" w:eastAsia="仿宋"/>
          <w:color w:val="333333"/>
          <w:sz w:val="32"/>
          <w:szCs w:val="32"/>
          <w:shd w:val="clear" w:color="auto" w:fill="FFFFFF"/>
        </w:rPr>
        <w:t>3</w:t>
      </w:r>
      <w:r>
        <w:rPr>
          <w:rFonts w:hint="eastAsia" w:ascii="仿宋" w:hAnsi="仿宋" w:eastAsia="仿宋"/>
          <w:color w:val="333333"/>
          <w:sz w:val="32"/>
          <w:szCs w:val="32"/>
          <w:shd w:val="clear" w:color="auto" w:fill="FFFFFF"/>
          <w:lang w:eastAsia="zh-CN"/>
        </w:rPr>
        <w:t>、</w:t>
      </w:r>
      <w:r>
        <w:rPr>
          <w:rFonts w:hint="eastAsia" w:ascii="仿宋" w:hAnsi="仿宋" w:eastAsia="仿宋"/>
          <w:color w:val="333333"/>
          <w:sz w:val="32"/>
          <w:szCs w:val="32"/>
          <w:shd w:val="clear" w:color="auto" w:fill="FFFFFF"/>
        </w:rPr>
        <w:t>人员情况，包括当年变动情况及原因。</w:t>
      </w:r>
    </w:p>
    <w:p w14:paraId="1CA965D8">
      <w:pPr>
        <w:ind w:firstLine="640" w:firstLineChars="200"/>
        <w:rPr>
          <w:rFonts w:hint="eastAsia" w:ascii="楷体" w:hAnsi="楷体" w:eastAsia="楷体" w:cs="楷体_GB2312"/>
          <w:bCs/>
          <w:sz w:val="32"/>
          <w:szCs w:val="32"/>
        </w:rPr>
      </w:pPr>
      <w:r>
        <w:rPr>
          <w:rFonts w:hint="eastAsia" w:ascii="仿宋" w:hAnsi="仿宋" w:eastAsia="仿宋"/>
          <w:color w:val="333333"/>
          <w:sz w:val="32"/>
          <w:szCs w:val="32"/>
          <w:shd w:val="clear" w:color="auto" w:fill="FFFFFF"/>
        </w:rPr>
        <w:t>从决算编报人员情况表看，由去年</w:t>
      </w:r>
      <w:r>
        <w:rPr>
          <w:rFonts w:hint="eastAsia" w:ascii="仿宋" w:hAnsi="仿宋" w:eastAsia="仿宋"/>
          <w:color w:val="333333"/>
          <w:sz w:val="32"/>
          <w:szCs w:val="32"/>
          <w:shd w:val="clear" w:color="auto" w:fill="FFFFFF"/>
          <w:lang w:val="en-US" w:eastAsia="zh-CN"/>
        </w:rPr>
        <w:t>48</w:t>
      </w:r>
      <w:r>
        <w:rPr>
          <w:rFonts w:hint="eastAsia" w:ascii="仿宋" w:hAnsi="仿宋" w:eastAsia="仿宋"/>
          <w:color w:val="333333"/>
          <w:sz w:val="32"/>
          <w:szCs w:val="32"/>
          <w:shd w:val="clear" w:color="auto" w:fill="FFFFFF"/>
        </w:rPr>
        <w:t>人</w:t>
      </w:r>
      <w:r>
        <w:rPr>
          <w:rFonts w:hint="eastAsia" w:ascii="仿宋" w:hAnsi="仿宋" w:eastAsia="仿宋"/>
          <w:color w:val="333333"/>
          <w:sz w:val="32"/>
          <w:szCs w:val="32"/>
          <w:shd w:val="clear" w:color="auto" w:fill="FFFFFF"/>
          <w:lang w:val="en-US" w:eastAsia="zh-CN"/>
        </w:rPr>
        <w:t>增加</w:t>
      </w:r>
      <w:r>
        <w:rPr>
          <w:rFonts w:hint="eastAsia" w:ascii="仿宋" w:hAnsi="仿宋" w:eastAsia="仿宋"/>
          <w:color w:val="333333"/>
          <w:sz w:val="32"/>
          <w:szCs w:val="32"/>
          <w:shd w:val="clear" w:color="auto" w:fill="FFFFFF"/>
        </w:rPr>
        <w:t>为</w:t>
      </w:r>
      <w:r>
        <w:rPr>
          <w:rFonts w:hint="eastAsia" w:ascii="仿宋" w:hAnsi="仿宋" w:eastAsia="仿宋"/>
          <w:color w:val="333333"/>
          <w:sz w:val="32"/>
          <w:szCs w:val="32"/>
          <w:shd w:val="clear" w:color="auto" w:fill="FFFFFF"/>
          <w:lang w:val="en-US" w:eastAsia="zh-CN"/>
        </w:rPr>
        <w:t>51</w:t>
      </w:r>
      <w:r>
        <w:rPr>
          <w:rFonts w:hint="eastAsia" w:ascii="仿宋" w:hAnsi="仿宋" w:eastAsia="仿宋"/>
          <w:color w:val="333333"/>
          <w:sz w:val="32"/>
          <w:szCs w:val="32"/>
          <w:shd w:val="clear" w:color="auto" w:fill="FFFFFF"/>
        </w:rPr>
        <w:t>人，</w:t>
      </w:r>
      <w:r>
        <w:rPr>
          <w:rFonts w:hint="eastAsia" w:ascii="仿宋" w:hAnsi="仿宋" w:eastAsia="仿宋"/>
          <w:color w:val="333333"/>
          <w:sz w:val="32"/>
          <w:szCs w:val="32"/>
          <w:shd w:val="clear" w:color="auto" w:fill="FFFFFF"/>
          <w:lang w:val="en-US" w:eastAsia="zh-CN"/>
        </w:rPr>
        <w:t>其中，有2名在职人员转退休，调出1人，新入职2人，调入4人</w:t>
      </w:r>
      <w:r>
        <w:rPr>
          <w:rFonts w:hint="eastAsia" w:ascii="仿宋" w:hAnsi="仿宋" w:eastAsia="仿宋"/>
          <w:color w:val="333333"/>
          <w:sz w:val="32"/>
          <w:szCs w:val="32"/>
          <w:shd w:val="clear" w:color="auto" w:fill="FFFFFF"/>
        </w:rPr>
        <w:t>。</w:t>
      </w:r>
    </w:p>
    <w:p w14:paraId="467DEB2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2A1EEAD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2024年项目支出4860.39万元，分别为1、人防专项经费2万元；2、粮食企业国有资产价格评估经费8.9万元；3、价格认证经费48.5万元；4、人员补助经费10万元；5、赵县城区存量房计税基准价格认定经费7万元；6、赵县“十五五”规划前期工作编制经费9万元；7、“赵县四大产业规划”编制经费9万元；8、赵县生物医药产业发展规划编制经费9万元；9、人防直属工程款50万元；10、粮食执法监管和统计调查经费7.6万元；11、自然灾害应急救灾物资采购28.15万元；12、2025年农产品成本调查经费  冀财建[2024]259号0.79万元；13、2024-2025年度农村煤改气气价倒挂补贴12万元；14、2025年第一批超长期特别国债（大规模设备更新领域)支出预算的通知 冀财建[2025]98号2130万元；15、2025年农产品成本调查补助资金  冀财建【2025】57号0万元；16、高端制剂系列产品产业化建设项目资金600万元；17、补助经费30.45万元；18、观摩项目视频拍摄制作费4万元；19、赵县粮食购销领域监管信息化建设项目资金15.03万元；20、2025-2026年采暖季农村煤改气气价倒挂补贴1440.97万元。</w:t>
      </w:r>
    </w:p>
    <w:p w14:paraId="2BF292C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FFCBCF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lang w:val="en-US" w:eastAsia="zh-CN"/>
        </w:rPr>
        <w:t>2025年我单位财政支出项目全部通过财政一体化信息系统进行绩效目标申报，共计项目20个项目。通过比对年初设立的绩效目标与年终执行情况，发现我局总体绩效目标设定合理，能够清晰准确体现工作完成度，能够科学合理安排预算执行进度，绩效标准恰当适用。但也存在一些问题：主要问题为项目实施的进度与预算存在时间差异，受托单位未及时出具项目评审报告，致使单位无法向财政申请项目资金。导致预算资金未执行到位，绩效目标未能实现。下一步改进措施：1、合理安排预算资金，加强资金执行力度。2、进一步加强预算绩效管理，推进预算执行进度，提升单位绩效评价工作。</w:t>
      </w:r>
    </w:p>
    <w:p w14:paraId="0E7E713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438D4B3">
      <w:pPr>
        <w:snapToGrid w:val="0"/>
        <w:spacing w:line="520" w:lineRule="exact"/>
        <w:ind w:firstLine="643" w:firstLineChars="200"/>
        <w:rPr>
          <w:rFonts w:hint="eastAsia" w:ascii="仿宋_GB2312" w:hAnsi="仿宋" w:eastAsia="仿宋_GB2312"/>
          <w:color w:val="auto"/>
          <w:sz w:val="32"/>
          <w:szCs w:val="32"/>
        </w:rPr>
      </w:pPr>
      <w:r>
        <w:rPr>
          <w:rFonts w:hint="eastAsia" w:ascii="仿宋" w:hAnsi="仿宋" w:eastAsia="仿宋" w:cs="楷体_GB2312"/>
          <w:b/>
          <w:bCs/>
          <w:sz w:val="32"/>
          <w:szCs w:val="32"/>
        </w:rPr>
        <w:t xml:space="preserve">    </w:t>
      </w:r>
      <w:r>
        <w:rPr>
          <w:rFonts w:hint="eastAsia" w:ascii="仿宋_GB2312" w:hAnsi="仿宋" w:eastAsia="仿宋_GB2312"/>
          <w:color w:val="auto"/>
          <w:sz w:val="32"/>
          <w:szCs w:val="32"/>
        </w:rPr>
        <w:t>为保证绩效评价工作顺利开展，我单位成立了绩效评价工作小组，</w:t>
      </w:r>
      <w:r>
        <w:rPr>
          <w:rFonts w:hint="eastAsia" w:ascii="仿宋_GB2312" w:hAnsi="仿宋" w:eastAsia="仿宋_GB2312"/>
          <w:color w:val="auto"/>
          <w:sz w:val="32"/>
          <w:szCs w:val="32"/>
          <w:lang w:val="en-US" w:eastAsia="zh-CN"/>
        </w:rPr>
        <w:t>王哲</w:t>
      </w:r>
      <w:r>
        <w:rPr>
          <w:rFonts w:hint="eastAsia" w:ascii="仿宋_GB2312" w:hAnsi="仿宋" w:eastAsia="仿宋_GB2312"/>
          <w:color w:val="auto"/>
          <w:sz w:val="32"/>
          <w:szCs w:val="32"/>
        </w:rPr>
        <w:t>为组长，</w:t>
      </w:r>
      <w:r>
        <w:rPr>
          <w:rFonts w:hint="eastAsia" w:ascii="仿宋_GB2312" w:hAnsi="仿宋" w:eastAsia="仿宋_GB2312"/>
          <w:color w:val="auto"/>
          <w:sz w:val="32"/>
          <w:szCs w:val="32"/>
          <w:lang w:val="en-US" w:eastAsia="zh-CN"/>
        </w:rPr>
        <w:t>张进涛</w:t>
      </w:r>
      <w:r>
        <w:rPr>
          <w:rFonts w:hint="eastAsia" w:ascii="仿宋_GB2312" w:hAnsi="仿宋" w:eastAsia="仿宋_GB2312"/>
          <w:color w:val="auto"/>
          <w:sz w:val="32"/>
          <w:szCs w:val="32"/>
        </w:rPr>
        <w:t>为副组长，</w:t>
      </w:r>
      <w:r>
        <w:rPr>
          <w:rFonts w:hint="eastAsia" w:ascii="仿宋_GB2312" w:hAnsi="仿宋" w:eastAsia="仿宋_GB2312"/>
          <w:color w:val="auto"/>
          <w:sz w:val="32"/>
          <w:szCs w:val="32"/>
          <w:lang w:val="en-US" w:eastAsia="zh-CN"/>
        </w:rPr>
        <w:t>郑欣康为科室负责人</w:t>
      </w:r>
      <w:r>
        <w:rPr>
          <w:rFonts w:hint="eastAsia" w:ascii="仿宋_GB2312" w:hAnsi="仿宋" w:eastAsia="仿宋_GB2312"/>
          <w:color w:val="auto"/>
          <w:sz w:val="32"/>
          <w:szCs w:val="32"/>
        </w:rPr>
        <w:t>，负责绩效评价的组织管理和实施工作。</w:t>
      </w:r>
    </w:p>
    <w:p w14:paraId="014FF4B1">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按照绩效评价工作要求，明确绩效评价的内容和范围，初步制定绩效评价工作方案。召开座谈会，对工作方案进行反复讨论并广泛征求相关部门和有关人员意见。确定方案后，我单位对各预算项目进行打分自评。评价工作小组对我单位年度绩效的相关资料进行收集、梳理并分析、核实，确保所收集的数据和资料真实、可靠。</w:t>
      </w:r>
    </w:p>
    <w:p w14:paraId="5DA77C28">
      <w:pPr>
        <w:snapToGrid w:val="0"/>
        <w:spacing w:line="520" w:lineRule="exact"/>
        <w:ind w:firstLine="640" w:firstLineChars="200"/>
        <w:rPr>
          <w:rFonts w:ascii="楷体" w:hAnsi="楷体" w:eastAsia="楷体" w:cs="楷体_GB2312"/>
          <w:bCs/>
          <w:sz w:val="32"/>
          <w:szCs w:val="32"/>
        </w:rPr>
      </w:pPr>
      <w:r>
        <w:rPr>
          <w:rFonts w:hint="eastAsia" w:ascii="仿宋_GB2312" w:hAnsi="仿宋" w:eastAsia="仿宋_GB2312"/>
          <w:sz w:val="32"/>
          <w:szCs w:val="32"/>
        </w:rPr>
        <w:t>小组成员在对收集的数据、资料进行核对、比较、的基础上，对比年度绩效目标，形成评价结论；根据评价结论，撰写绩效评价报告。</w:t>
      </w:r>
    </w:p>
    <w:p w14:paraId="27BA49A9">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1ABE177">
      <w:pPr>
        <w:keepNext w:val="0"/>
        <w:keepLines w:val="0"/>
        <w:pageBreakBefore w:val="0"/>
        <w:widowControl w:val="0"/>
        <w:kinsoku/>
        <w:wordWrap/>
        <w:overflowPunct/>
        <w:topLinePunct w:val="0"/>
        <w:autoSpaceDE/>
        <w:autoSpaceDN/>
        <w:bidi w:val="0"/>
        <w:adjustRightInd/>
        <w:snapToGrid/>
        <w:spacing w:line="600" w:lineRule="exact"/>
        <w:ind w:firstLine="640" w:firstLineChars="200"/>
        <w:rPr>
          <w:rFonts w:hint="default" w:ascii="Times New Roman" w:hAnsi="Times New Roman" w:eastAsia="楷体" w:cs="Times New Roman"/>
          <w:color w:val="000000" w:themeColor="text1"/>
          <w:sz w:val="32"/>
          <w:szCs w:val="32"/>
          <w:lang w:val="en-US" w:eastAsia="zh-CN"/>
        </w:rPr>
      </w:pPr>
      <w:r>
        <w:rPr>
          <w:rFonts w:hint="default" w:ascii="Times New Roman" w:hAnsi="Times New Roman" w:eastAsia="楷体" w:cs="Times New Roman"/>
          <w:color w:val="000000" w:themeColor="text1"/>
          <w:sz w:val="32"/>
          <w:szCs w:val="32"/>
          <w:lang w:eastAsia="zh-CN"/>
        </w:rPr>
        <w:t>（</w:t>
      </w:r>
      <w:r>
        <w:rPr>
          <w:rFonts w:hint="default" w:ascii="Times New Roman" w:hAnsi="Times New Roman" w:eastAsia="楷体" w:cs="Times New Roman"/>
          <w:color w:val="000000" w:themeColor="text1"/>
          <w:sz w:val="32"/>
          <w:szCs w:val="32"/>
          <w:lang w:val="en-US" w:eastAsia="zh-CN"/>
        </w:rPr>
        <w:t>一</w:t>
      </w:r>
      <w:r>
        <w:rPr>
          <w:rFonts w:hint="default" w:ascii="Times New Roman" w:hAnsi="Times New Roman" w:eastAsia="楷体" w:cs="Times New Roman"/>
          <w:color w:val="000000" w:themeColor="text1"/>
          <w:sz w:val="32"/>
          <w:szCs w:val="32"/>
          <w:lang w:eastAsia="zh-CN"/>
        </w:rPr>
        <w:t>）</w:t>
      </w:r>
      <w:r>
        <w:rPr>
          <w:rFonts w:hint="default" w:ascii="Times New Roman" w:hAnsi="Times New Roman" w:eastAsia="楷体" w:cs="Times New Roman"/>
          <w:color w:val="000000" w:themeColor="text1"/>
          <w:sz w:val="32"/>
          <w:szCs w:val="32"/>
          <w:lang w:val="en-US" w:eastAsia="zh-CN"/>
        </w:rPr>
        <w:t>承担主要经济指标完成情况</w:t>
      </w:r>
    </w:p>
    <w:p w14:paraId="58E79CD6">
      <w:pPr>
        <w:keepNext w:val="0"/>
        <w:keepLines w:val="0"/>
        <w:pageBreakBefore w:val="0"/>
        <w:widowControl w:val="0"/>
        <w:kinsoku/>
        <w:wordWrap/>
        <w:overflowPunct/>
        <w:topLinePunct w:val="0"/>
        <w:autoSpaceDE/>
        <w:autoSpaceDN/>
        <w:bidi w:val="0"/>
        <w:adjustRightInd/>
        <w:snapToGrid/>
        <w:spacing w:line="600" w:lineRule="exact"/>
        <w:ind w:firstLine="640" w:firstLineChars="200"/>
        <w:rPr>
          <w:rFonts w:hint="eastAsia" w:ascii="仿宋" w:hAnsi="仿宋" w:eastAsia="仿宋" w:cs="仿宋"/>
          <w:color w:val="000000" w:themeColor="text1"/>
          <w:sz w:val="32"/>
          <w:szCs w:val="32"/>
          <w:lang w:val="en-US" w:eastAsia="zh-CN"/>
        </w:rPr>
      </w:pPr>
      <w:r>
        <w:rPr>
          <w:rFonts w:hint="eastAsia" w:ascii="仿宋" w:hAnsi="仿宋" w:eastAsia="仿宋" w:cs="仿宋"/>
          <w:b w:val="0"/>
          <w:bCs w:val="0"/>
          <w:color w:val="000000" w:themeColor="text1"/>
          <w:sz w:val="32"/>
          <w:szCs w:val="32"/>
        </w:rPr>
        <w:t>地区生产总值</w:t>
      </w:r>
      <w:r>
        <w:rPr>
          <w:rFonts w:hint="eastAsia" w:ascii="仿宋" w:hAnsi="仿宋" w:eastAsia="仿宋" w:cs="仿宋"/>
          <w:b w:val="0"/>
          <w:bCs w:val="0"/>
          <w:color w:val="000000" w:themeColor="text1"/>
          <w:sz w:val="32"/>
          <w:szCs w:val="32"/>
          <w:lang w:val="en-US" w:eastAsia="zh-CN"/>
        </w:rPr>
        <w:t>：</w:t>
      </w:r>
      <w:r>
        <w:rPr>
          <w:rFonts w:hint="eastAsia" w:ascii="仿宋" w:hAnsi="仿宋" w:eastAsia="仿宋" w:cs="仿宋"/>
          <w:color w:val="000000" w:themeColor="text1"/>
          <w:sz w:val="32"/>
          <w:szCs w:val="32"/>
        </w:rPr>
        <w:t>2025年前三季度全县地区生产总值为144亿元，增速为6.0%</w:t>
      </w:r>
      <w:r>
        <w:rPr>
          <w:rFonts w:hint="eastAsia" w:ascii="仿宋" w:hAnsi="仿宋" w:eastAsia="仿宋" w:cs="仿宋"/>
          <w:b w:val="0"/>
          <w:bCs w:val="0"/>
          <w:color w:val="000000" w:themeColor="text1"/>
          <w:sz w:val="32"/>
          <w:szCs w:val="32"/>
          <w:lang w:eastAsia="zh-CN"/>
        </w:rPr>
        <w:t>；</w:t>
      </w:r>
      <w:r>
        <w:rPr>
          <w:rFonts w:hint="eastAsia" w:ascii="仿宋" w:hAnsi="仿宋" w:eastAsia="仿宋" w:cs="仿宋"/>
          <w:b w:val="0"/>
          <w:bCs w:val="0"/>
          <w:color w:val="000000" w:themeColor="text1"/>
          <w:sz w:val="32"/>
          <w:szCs w:val="32"/>
          <w:lang w:val="en-US" w:eastAsia="zh-CN"/>
        </w:rPr>
        <w:t>固定资产投资:2025年1-11月份赵县固定资产投资完成27.5亿</w:t>
      </w:r>
      <w:r>
        <w:rPr>
          <w:rFonts w:hint="eastAsia" w:ascii="仿宋" w:hAnsi="仿宋" w:eastAsia="仿宋" w:cs="仿宋"/>
          <w:color w:val="000000" w:themeColor="text1"/>
          <w:sz w:val="32"/>
          <w:szCs w:val="32"/>
          <w:lang w:val="en-US" w:eastAsia="zh-CN"/>
        </w:rPr>
        <w:t>元，增速21.5%。</w:t>
      </w:r>
      <w:r>
        <w:rPr>
          <w:rFonts w:hint="eastAsia" w:ascii="仿宋" w:hAnsi="仿宋" w:eastAsia="仿宋" w:cs="仿宋"/>
          <w:color w:val="000000" w:themeColor="text1"/>
          <w:sz w:val="32"/>
          <w:szCs w:val="32"/>
        </w:rPr>
        <w:t>预计全年地区生产总值完成</w:t>
      </w:r>
      <w:r>
        <w:rPr>
          <w:rFonts w:hint="eastAsia" w:ascii="仿宋" w:hAnsi="仿宋" w:eastAsia="仿宋" w:cs="仿宋"/>
          <w:color w:val="000000" w:themeColor="text1"/>
          <w:sz w:val="32"/>
          <w:szCs w:val="32"/>
          <w:lang w:val="en-US" w:eastAsia="zh-CN"/>
        </w:rPr>
        <w:t>208.6</w:t>
      </w:r>
      <w:r>
        <w:rPr>
          <w:rFonts w:hint="eastAsia" w:ascii="仿宋" w:hAnsi="仿宋" w:eastAsia="仿宋" w:cs="仿宋"/>
          <w:color w:val="000000" w:themeColor="text1"/>
          <w:sz w:val="32"/>
          <w:szCs w:val="32"/>
        </w:rPr>
        <w:t>亿元，增长</w:t>
      </w:r>
      <w:r>
        <w:rPr>
          <w:rFonts w:hint="eastAsia" w:ascii="仿宋" w:hAnsi="仿宋" w:eastAsia="仿宋" w:cs="仿宋"/>
          <w:color w:val="000000" w:themeColor="text1"/>
          <w:sz w:val="32"/>
          <w:szCs w:val="32"/>
          <w:lang w:val="en-US" w:eastAsia="zh-CN"/>
        </w:rPr>
        <w:t>6</w:t>
      </w:r>
      <w:r>
        <w:rPr>
          <w:rFonts w:hint="eastAsia" w:ascii="仿宋" w:hAnsi="仿宋" w:eastAsia="仿宋" w:cs="仿宋"/>
          <w:color w:val="000000" w:themeColor="text1"/>
          <w:sz w:val="32"/>
          <w:szCs w:val="32"/>
        </w:rPr>
        <w:t>%</w:t>
      </w:r>
      <w:r>
        <w:rPr>
          <w:rFonts w:hint="eastAsia" w:ascii="仿宋" w:hAnsi="仿宋" w:eastAsia="仿宋" w:cs="仿宋"/>
          <w:color w:val="000000" w:themeColor="text1"/>
          <w:sz w:val="32"/>
          <w:szCs w:val="32"/>
          <w:lang w:eastAsia="zh-CN"/>
        </w:rPr>
        <w:t>，</w:t>
      </w:r>
      <w:r>
        <w:rPr>
          <w:rFonts w:hint="eastAsia" w:ascii="仿宋" w:hAnsi="仿宋" w:eastAsia="仿宋" w:cs="仿宋"/>
          <w:b w:val="0"/>
          <w:bCs w:val="0"/>
          <w:color w:val="000000" w:themeColor="text1"/>
          <w:sz w:val="32"/>
          <w:szCs w:val="32"/>
          <w:lang w:val="en-US" w:eastAsia="zh-CN"/>
        </w:rPr>
        <w:t>固定资产投资</w:t>
      </w:r>
      <w:r>
        <w:rPr>
          <w:rFonts w:hint="eastAsia" w:ascii="仿宋" w:hAnsi="仿宋" w:eastAsia="仿宋" w:cs="仿宋"/>
          <w:color w:val="000000" w:themeColor="text1"/>
          <w:sz w:val="32"/>
          <w:szCs w:val="32"/>
          <w:lang w:val="en-US" w:eastAsia="zh-CN"/>
        </w:rPr>
        <w:t>完成29.8亿元，增速13%。</w:t>
      </w:r>
    </w:p>
    <w:p w14:paraId="40B36995">
      <w:pPr>
        <w:keepNext w:val="0"/>
        <w:keepLines w:val="0"/>
        <w:pageBreakBefore w:val="0"/>
        <w:widowControl w:val="0"/>
        <w:numPr>
          <w:ilvl w:val="0"/>
          <w:numId w:val="0"/>
        </w:numPr>
        <w:kinsoku/>
        <w:wordWrap/>
        <w:overflowPunct/>
        <w:topLinePunct w:val="0"/>
        <w:autoSpaceDE/>
        <w:autoSpaceDN/>
        <w:bidi w:val="0"/>
        <w:spacing w:line="600" w:lineRule="exact"/>
        <w:ind w:leftChars="200"/>
        <w:textAlignment w:val="auto"/>
        <w:rPr>
          <w:rFonts w:hint="default" w:ascii="Times New Roman" w:hAnsi="Times New Roman" w:eastAsia="仿宋_GB2312" w:cs="Times New Roman"/>
          <w:b w:val="0"/>
          <w:bCs/>
          <w:color w:val="000000" w:themeColor="text1"/>
          <w:sz w:val="32"/>
          <w:szCs w:val="32"/>
          <w:lang w:val="en-US" w:eastAsia="zh-CN"/>
        </w:rPr>
      </w:pPr>
      <w:r>
        <w:rPr>
          <w:rFonts w:hint="eastAsia" w:ascii="楷体" w:hAnsi="楷体" w:eastAsia="楷体" w:cs="楷体_GB2312"/>
          <w:bCs/>
          <w:sz w:val="32"/>
          <w:szCs w:val="32"/>
          <w:lang w:val="en-US" w:eastAsia="zh-CN"/>
        </w:rPr>
        <w:t>（二）项目建设情况</w:t>
      </w:r>
    </w:p>
    <w:p w14:paraId="7556666E">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default" w:ascii="Times New Roman" w:hAnsi="Times New Roman" w:eastAsia="仿宋_GB2312" w:cs="Times New Roman"/>
          <w:b w:val="0"/>
          <w:bCs/>
          <w:color w:val="000000" w:themeColor="text1"/>
          <w:sz w:val="32"/>
          <w:szCs w:val="32"/>
          <w:lang w:val="en-US" w:eastAsia="zh-CN"/>
        </w:rPr>
      </w:pPr>
      <w:r>
        <w:rPr>
          <w:rFonts w:hint="eastAsia" w:ascii="仿宋" w:hAnsi="仿宋" w:eastAsia="仿宋" w:cs="仿宋"/>
          <w:color w:val="000000" w:themeColor="text1"/>
          <w:kern w:val="2"/>
          <w:sz w:val="32"/>
          <w:szCs w:val="32"/>
          <w:u w:color="000000"/>
        </w:rPr>
        <w:t>2025年以来共实施规模以上项目</w:t>
      </w:r>
      <w:r>
        <w:rPr>
          <w:rFonts w:hint="eastAsia" w:ascii="仿宋" w:hAnsi="仿宋" w:eastAsia="仿宋" w:cs="仿宋"/>
          <w:color w:val="000000" w:themeColor="text1"/>
          <w:kern w:val="2"/>
          <w:sz w:val="32"/>
          <w:szCs w:val="32"/>
          <w:u w:color="000000"/>
          <w:lang w:val="en-US" w:eastAsia="zh-CN"/>
        </w:rPr>
        <w:t>108</w:t>
      </w:r>
      <w:r>
        <w:rPr>
          <w:rFonts w:hint="eastAsia" w:ascii="仿宋" w:hAnsi="仿宋" w:eastAsia="仿宋" w:cs="仿宋"/>
          <w:color w:val="000000" w:themeColor="text1"/>
          <w:kern w:val="2"/>
          <w:sz w:val="32"/>
          <w:szCs w:val="32"/>
          <w:u w:color="000000"/>
        </w:rPr>
        <w:t>个、总投资</w:t>
      </w:r>
      <w:r>
        <w:rPr>
          <w:rFonts w:hint="eastAsia" w:ascii="仿宋" w:hAnsi="仿宋" w:eastAsia="仿宋" w:cs="仿宋"/>
          <w:color w:val="000000" w:themeColor="text1"/>
          <w:kern w:val="2"/>
          <w:sz w:val="32"/>
          <w:szCs w:val="32"/>
          <w:u w:color="000000"/>
          <w:lang w:val="en-US" w:eastAsia="zh-CN"/>
        </w:rPr>
        <w:t>213</w:t>
      </w:r>
      <w:r>
        <w:rPr>
          <w:rFonts w:hint="eastAsia" w:ascii="仿宋" w:hAnsi="仿宋" w:eastAsia="仿宋" w:cs="仿宋"/>
          <w:color w:val="000000" w:themeColor="text1"/>
          <w:kern w:val="2"/>
          <w:sz w:val="32"/>
          <w:szCs w:val="32"/>
          <w:u w:color="000000"/>
        </w:rPr>
        <w:t>亿元，涵盖产业、民生、能源、技改、城市更新等多个领域</w:t>
      </w:r>
      <w:r>
        <w:rPr>
          <w:rFonts w:hint="eastAsia" w:ascii="仿宋" w:hAnsi="仿宋" w:eastAsia="仿宋" w:cs="仿宋"/>
          <w:color w:val="000000" w:themeColor="text1"/>
          <w:kern w:val="2"/>
          <w:sz w:val="32"/>
          <w:szCs w:val="32"/>
          <w:u w:color="000000"/>
          <w:lang w:eastAsia="zh-CN"/>
        </w:rPr>
        <w:t>。</w:t>
      </w:r>
      <w:r>
        <w:rPr>
          <w:rFonts w:hint="eastAsia" w:ascii="仿宋" w:hAnsi="仿宋" w:eastAsia="仿宋" w:cs="仿宋"/>
          <w:color w:val="000000" w:themeColor="text1"/>
          <w:kern w:val="2"/>
          <w:sz w:val="32"/>
          <w:szCs w:val="32"/>
          <w:u w:color="000000"/>
        </w:rPr>
        <w:t>其中，列入省市重点项目11项、总投资亿元79.5亿元。</w:t>
      </w:r>
      <w:r>
        <w:rPr>
          <w:rFonts w:hint="eastAsia" w:ascii="仿宋" w:hAnsi="仿宋" w:eastAsia="仿宋" w:cs="仿宋"/>
          <w:color w:val="000000" w:themeColor="text1"/>
          <w:kern w:val="2"/>
          <w:sz w:val="32"/>
          <w:szCs w:val="32"/>
          <w:u w:val="none"/>
          <w:lang w:val="en-US" w:eastAsia="zh-CN" w:bidi="ar-SA"/>
        </w:rPr>
        <w:t>1-11月份市重点项目完成投资22.3亿元，占计划的136.5%；省重点项目完成投资5.2亿元，占年计划任务的1</w:t>
      </w:r>
      <w:r>
        <w:rPr>
          <w:rFonts w:hint="eastAsia" w:ascii="仿宋" w:hAnsi="仿宋" w:eastAsia="仿宋" w:cs="仿宋"/>
          <w:color w:val="000000" w:themeColor="text1"/>
          <w:kern w:val="2"/>
          <w:sz w:val="32"/>
          <w:szCs w:val="32"/>
          <w:u w:color="000000"/>
          <w:lang w:val="en-US" w:eastAsia="zh-CN"/>
        </w:rPr>
        <w:t>73.3%。</w:t>
      </w:r>
      <w:r>
        <w:rPr>
          <w:rFonts w:hint="eastAsia" w:ascii="仿宋" w:hAnsi="仿宋" w:eastAsia="仿宋" w:cs="仿宋"/>
          <w:color w:val="000000" w:themeColor="text1"/>
          <w:kern w:val="2"/>
          <w:sz w:val="32"/>
          <w:szCs w:val="32"/>
          <w:u w:color="000000"/>
        </w:rPr>
        <w:t>目前，投资10.17亿元的仁合益康汇泽药业高端制剂系列产品产业化建设项目（二期）、投资10亿元的铜锣湾商业广场项目正在抓紧建设之中；投资15.75亿元国辉250MW风力发电示范项目年内将实现并网，实现项目当年开工建设，当年竣工投运的“赵县速度”。</w:t>
      </w:r>
    </w:p>
    <w:p w14:paraId="6119360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39CB0D6">
      <w:pPr>
        <w:spacing w:line="560"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年单位积极履职，通过加强预算收支管理，不断梳理内部管理流程，建立健全内部管理制度，部门整体支出管理水平得到提升。经自评，项目自评得分均在</w:t>
      </w:r>
      <w:r>
        <w:rPr>
          <w:rFonts w:hint="eastAsia" w:ascii="仿宋" w:hAnsi="仿宋" w:eastAsia="仿宋"/>
          <w:sz w:val="32"/>
          <w:szCs w:val="32"/>
          <w:lang w:val="en-US" w:eastAsia="zh-CN"/>
        </w:rPr>
        <w:t>85</w:t>
      </w:r>
      <w:r>
        <w:rPr>
          <w:rFonts w:hint="eastAsia" w:ascii="仿宋" w:hAnsi="仿宋" w:eastAsia="仿宋"/>
          <w:sz w:val="32"/>
          <w:szCs w:val="32"/>
        </w:rPr>
        <w:t>分以上，较好的完成了年度工作目标，综合评价等级为“</w:t>
      </w:r>
      <w:r>
        <w:rPr>
          <w:rFonts w:hint="eastAsia" w:ascii="仿宋" w:hAnsi="仿宋" w:eastAsia="仿宋"/>
          <w:sz w:val="32"/>
          <w:szCs w:val="32"/>
          <w:lang w:val="en-US" w:eastAsia="zh-CN"/>
        </w:rPr>
        <w:t>优秀</w:t>
      </w:r>
      <w:r>
        <w:rPr>
          <w:rFonts w:hint="eastAsia" w:ascii="仿宋" w:hAnsi="仿宋" w:eastAsia="仿宋"/>
          <w:sz w:val="32"/>
          <w:szCs w:val="32"/>
        </w:rPr>
        <w:t>”。</w:t>
      </w:r>
    </w:p>
    <w:p w14:paraId="2A58173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03380D9">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580949A">
      <w:pPr>
        <w:pStyle w:val="3"/>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p>
    <w:p w14:paraId="75CAB054">
      <w:pPr>
        <w:pStyle w:val="3"/>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1、部分绩效指标设定不易量化，只能用定性方法考核，造成评分具有一定主观性。</w:t>
      </w:r>
    </w:p>
    <w:p w14:paraId="394881E9">
      <w:pPr>
        <w:pStyle w:val="3"/>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2、部分项目内容有重叠情况，导致项目绩效目标不能明确体现项目各自特点。</w:t>
      </w:r>
    </w:p>
    <w:p w14:paraId="51E3884F">
      <w:pPr>
        <w:pStyle w:val="3"/>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 部分评价指标的设置不够合理和科学，主要原因是设置评价指标时，和主管科室的沟通不及时。</w:t>
      </w:r>
    </w:p>
    <w:p w14:paraId="020DB740">
      <w:pPr>
        <w:numPr>
          <w:ilvl w:val="0"/>
          <w:numId w:val="0"/>
        </w:numPr>
        <w:spacing w:line="560" w:lineRule="exact"/>
        <w:ind w:leftChars="200"/>
        <w:rPr>
          <w:rFonts w:hint="eastAsia" w:ascii="楷体" w:hAnsi="楷体" w:eastAsia="楷体"/>
          <w:bCs/>
          <w:sz w:val="32"/>
          <w:szCs w:val="32"/>
        </w:rPr>
      </w:pPr>
      <w:r>
        <w:rPr>
          <w:rFonts w:hint="eastAsia" w:ascii="楷体" w:hAnsi="楷体" w:eastAsia="楷体"/>
          <w:bCs/>
          <w:sz w:val="32"/>
          <w:szCs w:val="32"/>
          <w:lang w:eastAsia="zh-CN"/>
        </w:rPr>
        <w:t>（</w:t>
      </w:r>
      <w:r>
        <w:rPr>
          <w:rFonts w:hint="eastAsia" w:ascii="楷体" w:hAnsi="楷体" w:eastAsia="楷体"/>
          <w:bCs/>
          <w:sz w:val="32"/>
          <w:szCs w:val="32"/>
          <w:lang w:val="en-US" w:eastAsia="zh-CN"/>
        </w:rPr>
        <w:t>二）</w:t>
      </w:r>
      <w:r>
        <w:rPr>
          <w:rFonts w:hint="eastAsia" w:ascii="楷体" w:hAnsi="楷体" w:eastAsia="楷体"/>
          <w:bCs/>
          <w:sz w:val="32"/>
          <w:szCs w:val="32"/>
        </w:rPr>
        <w:t>针对问题提出具体的改进措施或建议</w:t>
      </w:r>
    </w:p>
    <w:p w14:paraId="5D1F7C0D">
      <w:pPr>
        <w:pStyle w:val="3"/>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1、在工作中根据不断出现的新情况和发现的新问题，逐步完善项目绩效评价管理体系，进一步提高项目绩效管理水平；</w:t>
      </w:r>
    </w:p>
    <w:p w14:paraId="1DEECD55">
      <w:pPr>
        <w:pStyle w:val="3"/>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楷体" w:hAnsi="楷体" w:eastAsia="楷体"/>
          <w:bCs/>
          <w:sz w:val="32"/>
          <w:szCs w:val="32"/>
        </w:rPr>
      </w:pPr>
      <w:r>
        <w:rPr>
          <w:rFonts w:hint="eastAsia" w:ascii="仿宋" w:hAnsi="仿宋" w:eastAsia="仿宋" w:cs="黑体"/>
          <w:kern w:val="2"/>
          <w:sz w:val="32"/>
          <w:szCs w:val="32"/>
          <w:lang w:val="en-US" w:eastAsia="zh-CN" w:bidi="ar-SA"/>
        </w:rPr>
        <w:t>2、加强对相关人员培训，特别是针对《预算法》， 《行政事业单位会计制度》 ,项目立项规范，绩效评价相关方针、政策以及市财政有关规定等的学习培训，切实提高部门预算收支管理水平、项目立项管理水平和绩效目标管理水平。</w:t>
      </w:r>
    </w:p>
    <w:p w14:paraId="7539B15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tbl>
      <w:tblPr>
        <w:tblStyle w:val="6"/>
        <w:tblpPr w:leftFromText="180" w:rightFromText="180" w:vertAnchor="text" w:horzAnchor="page" w:tblpX="1676" w:tblpY="804"/>
        <w:tblOverlap w:val="never"/>
        <w:tblW w:w="9117" w:type="dxa"/>
        <w:tblInd w:w="0" w:type="dxa"/>
        <w:tblLayout w:type="fixed"/>
        <w:tblCellMar>
          <w:top w:w="0" w:type="dxa"/>
          <w:left w:w="108" w:type="dxa"/>
          <w:bottom w:w="0" w:type="dxa"/>
          <w:right w:w="108" w:type="dxa"/>
        </w:tblCellMar>
      </w:tblPr>
      <w:tblGrid>
        <w:gridCol w:w="1053"/>
        <w:gridCol w:w="1544"/>
        <w:gridCol w:w="1626"/>
        <w:gridCol w:w="2447"/>
        <w:gridCol w:w="2447"/>
      </w:tblGrid>
      <w:tr w14:paraId="1B2E5707">
        <w:tblPrEx>
          <w:tblCellMar>
            <w:top w:w="0" w:type="dxa"/>
            <w:left w:w="108" w:type="dxa"/>
            <w:bottom w:w="0" w:type="dxa"/>
            <w:right w:w="108" w:type="dxa"/>
          </w:tblCellMar>
        </w:tblPrEx>
        <w:trPr>
          <w:trHeight w:val="545" w:hRule="atLeas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8EE9E">
            <w:pPr>
              <w:keepNext w:val="0"/>
              <w:keepLines w:val="0"/>
              <w:pageBreakBefore w:val="0"/>
              <w:widowControl/>
              <w:kinsoku/>
              <w:wordWrap/>
              <w:overflowPunct/>
              <w:topLinePunct w:val="0"/>
              <w:autoSpaceDE/>
              <w:autoSpaceDN/>
              <w:bidi w:val="0"/>
              <w:adjustRightInd/>
              <w:snapToGrid/>
              <w:jc w:val="center"/>
              <w:textAlignment w:val="center"/>
              <w:rPr>
                <w:rFonts w:ascii="宋体" w:hAnsi="宋体" w:eastAsia="宋体" w:cs="宋体"/>
                <w:color w:val="000000"/>
                <w:sz w:val="24"/>
              </w:rPr>
            </w:pPr>
            <w:r>
              <w:rPr>
                <w:rFonts w:hint="eastAsia" w:ascii="宋体" w:hAnsi="宋体" w:eastAsia="宋体" w:cs="宋体"/>
                <w:color w:val="000000"/>
                <w:kern w:val="0"/>
                <w:sz w:val="24"/>
              </w:rPr>
              <w:t>序号</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F148A">
            <w:pPr>
              <w:keepNext w:val="0"/>
              <w:keepLines w:val="0"/>
              <w:pageBreakBefore w:val="0"/>
              <w:widowControl/>
              <w:kinsoku/>
              <w:wordWrap/>
              <w:overflowPunct/>
              <w:topLinePunct w:val="0"/>
              <w:autoSpaceDE/>
              <w:autoSpaceDN/>
              <w:bidi w:val="0"/>
              <w:adjustRightInd/>
              <w:snapToGrid/>
              <w:jc w:val="center"/>
              <w:textAlignment w:val="center"/>
              <w:rPr>
                <w:rFonts w:ascii="宋体" w:hAnsi="宋体" w:eastAsia="宋体" w:cs="宋体"/>
                <w:color w:val="000000"/>
                <w:sz w:val="24"/>
              </w:rPr>
            </w:pPr>
            <w:r>
              <w:rPr>
                <w:rFonts w:hint="eastAsia" w:ascii="宋体" w:hAnsi="宋体" w:eastAsia="宋体" w:cs="宋体"/>
                <w:color w:val="000000"/>
                <w:kern w:val="0"/>
                <w:sz w:val="24"/>
              </w:rPr>
              <w:t>姓名</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6C056">
            <w:pPr>
              <w:keepNext w:val="0"/>
              <w:keepLines w:val="0"/>
              <w:pageBreakBefore w:val="0"/>
              <w:widowControl/>
              <w:kinsoku/>
              <w:wordWrap/>
              <w:overflowPunct/>
              <w:topLinePunct w:val="0"/>
              <w:autoSpaceDE/>
              <w:autoSpaceDN/>
              <w:bidi w:val="0"/>
              <w:adjustRightInd/>
              <w:snapToGrid/>
              <w:jc w:val="center"/>
              <w:textAlignment w:val="center"/>
              <w:rPr>
                <w:rFonts w:ascii="宋体" w:hAnsi="宋体" w:eastAsia="宋体" w:cs="宋体"/>
                <w:color w:val="000000"/>
                <w:sz w:val="24"/>
              </w:rPr>
            </w:pPr>
            <w:r>
              <w:rPr>
                <w:rFonts w:hint="eastAsia" w:ascii="宋体" w:hAnsi="宋体" w:eastAsia="宋体" w:cs="宋体"/>
                <w:color w:val="000000"/>
                <w:kern w:val="0"/>
                <w:sz w:val="24"/>
              </w:rPr>
              <w:t>工作单位</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DD56">
            <w:pPr>
              <w:keepNext w:val="0"/>
              <w:keepLines w:val="0"/>
              <w:pageBreakBefore w:val="0"/>
              <w:widowControl/>
              <w:kinsoku/>
              <w:wordWrap/>
              <w:overflowPunct/>
              <w:topLinePunct w:val="0"/>
              <w:autoSpaceDE/>
              <w:autoSpaceDN/>
              <w:bidi w:val="0"/>
              <w:adjustRightInd/>
              <w:snapToGrid/>
              <w:jc w:val="center"/>
              <w:textAlignment w:val="center"/>
              <w:rPr>
                <w:rFonts w:ascii="宋体" w:hAnsi="宋体" w:eastAsia="宋体" w:cs="宋体"/>
                <w:color w:val="000000"/>
                <w:sz w:val="24"/>
              </w:rPr>
            </w:pPr>
            <w:r>
              <w:rPr>
                <w:rFonts w:hint="eastAsia" w:ascii="宋体" w:hAnsi="宋体" w:eastAsia="宋体" w:cs="宋体"/>
                <w:color w:val="000000"/>
                <w:kern w:val="0"/>
                <w:sz w:val="24"/>
              </w:rPr>
              <w:t>职务</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F577E">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kern w:val="0"/>
                <w:sz w:val="24"/>
                <w:lang w:eastAsia="zh-CN"/>
              </w:rPr>
            </w:pPr>
            <w:r>
              <w:rPr>
                <w:rFonts w:hint="eastAsia" w:ascii="宋体" w:hAnsi="宋体" w:cs="宋体"/>
                <w:color w:val="000000"/>
                <w:kern w:val="0"/>
                <w:sz w:val="24"/>
                <w:lang w:eastAsia="zh-CN"/>
              </w:rPr>
              <w:t>签字</w:t>
            </w:r>
          </w:p>
        </w:tc>
      </w:tr>
      <w:tr w14:paraId="587E780A">
        <w:tblPrEx>
          <w:tblCellMar>
            <w:top w:w="0" w:type="dxa"/>
            <w:left w:w="108" w:type="dxa"/>
            <w:bottom w:w="0" w:type="dxa"/>
            <w:right w:w="108" w:type="dxa"/>
          </w:tblCellMar>
        </w:tblPrEx>
        <w:trPr>
          <w:trHeight w:val="567" w:hRule="exac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B4BB8">
            <w:pPr>
              <w:keepNext w:val="0"/>
              <w:keepLines w:val="0"/>
              <w:pageBreakBefore w:val="0"/>
              <w:widowControl/>
              <w:kinsoku/>
              <w:wordWrap/>
              <w:overflowPunct/>
              <w:topLinePunct w:val="0"/>
              <w:autoSpaceDE/>
              <w:autoSpaceDN/>
              <w:bidi w:val="0"/>
              <w:adjustRightInd/>
              <w:snapToGrid/>
              <w:jc w:val="center"/>
              <w:textAlignment w:val="center"/>
              <w:rPr>
                <w:rFonts w:ascii="宋体" w:hAnsi="宋体" w:eastAsia="宋体" w:cs="宋体"/>
                <w:color w:val="000000"/>
                <w:sz w:val="24"/>
              </w:rPr>
            </w:pPr>
            <w:r>
              <w:rPr>
                <w:rFonts w:hint="eastAsia" w:ascii="宋体" w:hAnsi="宋体" w:eastAsia="宋体" w:cs="宋体"/>
                <w:color w:val="000000"/>
                <w:kern w:val="0"/>
                <w:sz w:val="24"/>
              </w:rPr>
              <w:t>1</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CA0CC">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sz w:val="24"/>
                <w:lang w:eastAsia="zh-CN"/>
              </w:rPr>
            </w:pPr>
            <w:r>
              <w:rPr>
                <w:rFonts w:hint="eastAsia" w:ascii="宋体" w:hAnsi="宋体" w:cs="宋体"/>
                <w:color w:val="000000"/>
                <w:sz w:val="24"/>
                <w:lang w:val="en-US" w:eastAsia="zh-CN"/>
              </w:rPr>
              <w:t>王哲</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F96E2">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sz w:val="24"/>
                <w:lang w:eastAsia="zh-CN"/>
              </w:rPr>
            </w:pPr>
            <w:r>
              <w:rPr>
                <w:rFonts w:hint="eastAsia" w:ascii="宋体" w:hAnsi="宋体" w:eastAsia="宋体" w:cs="宋体"/>
                <w:color w:val="000000"/>
                <w:kern w:val="0"/>
                <w:sz w:val="24"/>
                <w:lang w:eastAsia="zh-CN"/>
              </w:rPr>
              <w:t>赵县发展和改革局</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77802">
            <w:pPr>
              <w:keepNext w:val="0"/>
              <w:keepLines w:val="0"/>
              <w:pageBreakBefore w:val="0"/>
              <w:widowControl/>
              <w:kinsoku/>
              <w:wordWrap/>
              <w:overflowPunct/>
              <w:topLinePunct w:val="0"/>
              <w:autoSpaceDE/>
              <w:autoSpaceDN/>
              <w:bidi w:val="0"/>
              <w:adjustRightInd/>
              <w:snapToGrid/>
              <w:jc w:val="center"/>
              <w:textAlignment w:val="center"/>
              <w:rPr>
                <w:rFonts w:hint="default" w:ascii="宋体" w:hAnsi="宋体" w:eastAsia="宋体" w:cs="宋体"/>
                <w:color w:val="000000"/>
                <w:sz w:val="24"/>
                <w:lang w:val="en-US" w:eastAsia="zh-CN"/>
              </w:rPr>
            </w:pPr>
            <w:r>
              <w:rPr>
                <w:rFonts w:hint="eastAsia" w:ascii="宋体" w:hAnsi="宋体" w:eastAsia="宋体" w:cs="宋体"/>
                <w:color w:val="000000"/>
                <w:kern w:val="0"/>
                <w:sz w:val="24"/>
              </w:rPr>
              <w:t>局长</w:t>
            </w:r>
            <w:r>
              <w:rPr>
                <w:rFonts w:hint="eastAsia" w:ascii="宋体" w:hAnsi="宋体" w:cs="宋体"/>
                <w:color w:val="000000"/>
                <w:kern w:val="0"/>
                <w:sz w:val="24"/>
                <w:lang w:eastAsia="zh-CN"/>
              </w:rPr>
              <w:t>，</w:t>
            </w:r>
            <w:r>
              <w:rPr>
                <w:rFonts w:hint="eastAsia" w:ascii="宋体" w:hAnsi="宋体" w:cs="宋体"/>
                <w:color w:val="000000"/>
                <w:kern w:val="0"/>
                <w:sz w:val="24"/>
                <w:lang w:val="en-US" w:eastAsia="zh-CN"/>
              </w:rPr>
              <w:t>三级调研员</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971F6">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cs="宋体"/>
                <w:color w:val="000000"/>
                <w:kern w:val="0"/>
                <w:sz w:val="24"/>
                <w:lang w:eastAsia="zh-CN"/>
              </w:rPr>
            </w:pPr>
          </w:p>
        </w:tc>
      </w:tr>
      <w:tr w14:paraId="7BFFFB3D">
        <w:tblPrEx>
          <w:tblCellMar>
            <w:top w:w="0" w:type="dxa"/>
            <w:left w:w="108" w:type="dxa"/>
            <w:bottom w:w="0" w:type="dxa"/>
            <w:right w:w="108" w:type="dxa"/>
          </w:tblCellMar>
        </w:tblPrEx>
        <w:trPr>
          <w:trHeight w:val="567" w:hRule="exac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2ED08">
            <w:pPr>
              <w:keepNext w:val="0"/>
              <w:keepLines w:val="0"/>
              <w:pageBreakBefore w:val="0"/>
              <w:widowControl/>
              <w:kinsoku/>
              <w:wordWrap/>
              <w:overflowPunct/>
              <w:topLinePunct w:val="0"/>
              <w:autoSpaceDE/>
              <w:autoSpaceDN/>
              <w:bidi w:val="0"/>
              <w:adjustRightInd/>
              <w:snapToGrid/>
              <w:jc w:val="center"/>
              <w:textAlignment w:val="center"/>
              <w:rPr>
                <w:rFonts w:ascii="宋体" w:hAnsi="宋体" w:eastAsia="宋体" w:cs="宋体"/>
                <w:color w:val="000000"/>
                <w:sz w:val="24"/>
              </w:rPr>
            </w:pPr>
            <w:r>
              <w:rPr>
                <w:rFonts w:hint="eastAsia" w:ascii="宋体" w:hAnsi="宋体" w:eastAsia="宋体" w:cs="宋体"/>
                <w:color w:val="000000"/>
                <w:kern w:val="0"/>
                <w:sz w:val="24"/>
              </w:rPr>
              <w:t>2</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B595A">
            <w:pPr>
              <w:keepNext w:val="0"/>
              <w:keepLines w:val="0"/>
              <w:pageBreakBefore w:val="0"/>
              <w:widowControl/>
              <w:kinsoku/>
              <w:wordWrap/>
              <w:overflowPunct/>
              <w:topLinePunct w:val="0"/>
              <w:autoSpaceDE/>
              <w:autoSpaceDN/>
              <w:bidi w:val="0"/>
              <w:adjustRightInd/>
              <w:snapToGrid/>
              <w:jc w:val="center"/>
              <w:textAlignment w:val="center"/>
              <w:rPr>
                <w:rFonts w:ascii="宋体" w:hAnsi="宋体" w:eastAsia="宋体" w:cs="宋体"/>
                <w:color w:val="000000"/>
                <w:sz w:val="24"/>
              </w:rPr>
            </w:pPr>
            <w:r>
              <w:rPr>
                <w:rFonts w:hint="eastAsia" w:ascii="宋体" w:hAnsi="宋体" w:cs="宋体"/>
                <w:color w:val="000000"/>
                <w:sz w:val="24"/>
                <w:lang w:val="en-US" w:eastAsia="zh-CN"/>
              </w:rPr>
              <w:t>张进涛</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4D39A">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sz w:val="24"/>
                <w:lang w:eastAsia="zh-CN"/>
              </w:rPr>
            </w:pPr>
            <w:r>
              <w:rPr>
                <w:rFonts w:hint="eastAsia" w:ascii="宋体" w:hAnsi="宋体" w:eastAsia="宋体" w:cs="宋体"/>
                <w:color w:val="000000"/>
                <w:kern w:val="0"/>
                <w:sz w:val="24"/>
                <w:lang w:eastAsia="zh-CN"/>
              </w:rPr>
              <w:t>赵县发展和改革局</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CF784">
            <w:pPr>
              <w:keepNext w:val="0"/>
              <w:keepLines w:val="0"/>
              <w:pageBreakBefore w:val="0"/>
              <w:widowControl/>
              <w:kinsoku/>
              <w:wordWrap/>
              <w:overflowPunct/>
              <w:topLinePunct w:val="0"/>
              <w:autoSpaceDE/>
              <w:autoSpaceDN/>
              <w:bidi w:val="0"/>
              <w:adjustRightInd/>
              <w:snapToGrid/>
              <w:jc w:val="center"/>
              <w:textAlignment w:val="center"/>
              <w:rPr>
                <w:rFonts w:hint="default" w:ascii="宋体" w:hAnsi="宋体" w:eastAsia="宋体" w:cs="宋体"/>
                <w:color w:val="000000"/>
                <w:sz w:val="24"/>
                <w:lang w:val="en-US" w:eastAsia="zh-CN"/>
              </w:rPr>
            </w:pPr>
            <w:r>
              <w:rPr>
                <w:rFonts w:hint="eastAsia" w:ascii="宋体" w:hAnsi="宋体" w:cs="宋体"/>
                <w:color w:val="000000"/>
                <w:kern w:val="0"/>
                <w:sz w:val="24"/>
                <w:lang w:val="en-US" w:eastAsia="zh-CN"/>
              </w:rPr>
              <w:t>县国动办常务副主任兼人防办主任</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9EE3F">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cs="宋体"/>
                <w:color w:val="000000"/>
                <w:kern w:val="0"/>
                <w:sz w:val="24"/>
                <w:lang w:eastAsia="zh-CN"/>
              </w:rPr>
            </w:pPr>
          </w:p>
        </w:tc>
      </w:tr>
      <w:tr w14:paraId="72FA41E7">
        <w:tblPrEx>
          <w:tblCellMar>
            <w:top w:w="0" w:type="dxa"/>
            <w:left w:w="108" w:type="dxa"/>
            <w:bottom w:w="0" w:type="dxa"/>
            <w:right w:w="108" w:type="dxa"/>
          </w:tblCellMar>
        </w:tblPrEx>
        <w:trPr>
          <w:trHeight w:val="567" w:hRule="exac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B1BBD">
            <w:pPr>
              <w:keepNext w:val="0"/>
              <w:keepLines w:val="0"/>
              <w:pageBreakBefore w:val="0"/>
              <w:widowControl/>
              <w:kinsoku/>
              <w:wordWrap/>
              <w:overflowPunct/>
              <w:topLinePunct w:val="0"/>
              <w:autoSpaceDE/>
              <w:autoSpaceDN/>
              <w:bidi w:val="0"/>
              <w:adjustRightInd/>
              <w:snapToGrid/>
              <w:jc w:val="center"/>
              <w:textAlignment w:val="center"/>
              <w:rPr>
                <w:rFonts w:ascii="宋体" w:hAnsi="宋体" w:eastAsia="宋体" w:cs="宋体"/>
                <w:color w:val="000000"/>
                <w:sz w:val="24"/>
              </w:rPr>
            </w:pPr>
            <w:r>
              <w:rPr>
                <w:rFonts w:hint="eastAsia" w:ascii="宋体" w:hAnsi="宋体" w:eastAsia="宋体" w:cs="宋体"/>
                <w:color w:val="000000"/>
                <w:kern w:val="0"/>
                <w:sz w:val="24"/>
              </w:rPr>
              <w:t>3</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FE353">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sz w:val="24"/>
                <w:lang w:eastAsia="zh-CN"/>
              </w:rPr>
            </w:pPr>
            <w:r>
              <w:rPr>
                <w:rFonts w:hint="eastAsia" w:ascii="宋体" w:hAnsi="宋体" w:cs="宋体"/>
                <w:color w:val="000000"/>
                <w:sz w:val="24"/>
                <w:lang w:val="en-US" w:eastAsia="zh-CN"/>
              </w:rPr>
              <w:t>李丽</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DAD5A">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sz w:val="24"/>
                <w:lang w:eastAsia="zh-CN"/>
              </w:rPr>
            </w:pPr>
            <w:r>
              <w:rPr>
                <w:rFonts w:hint="eastAsia" w:ascii="宋体" w:hAnsi="宋体" w:eastAsia="宋体" w:cs="宋体"/>
                <w:color w:val="000000"/>
                <w:kern w:val="0"/>
                <w:sz w:val="24"/>
                <w:lang w:eastAsia="zh-CN"/>
              </w:rPr>
              <w:t>赵县发展和改革局</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4F0DA">
            <w:pPr>
              <w:keepNext w:val="0"/>
              <w:keepLines w:val="0"/>
              <w:pageBreakBefore w:val="0"/>
              <w:widowControl/>
              <w:kinsoku/>
              <w:wordWrap/>
              <w:overflowPunct/>
              <w:topLinePunct w:val="0"/>
              <w:autoSpaceDE/>
              <w:autoSpaceDN/>
              <w:bidi w:val="0"/>
              <w:adjustRightInd/>
              <w:snapToGrid/>
              <w:jc w:val="center"/>
              <w:textAlignment w:val="center"/>
              <w:rPr>
                <w:rFonts w:hint="default" w:ascii="宋体" w:hAnsi="宋体" w:eastAsia="宋体" w:cs="宋体"/>
                <w:color w:val="000000"/>
                <w:sz w:val="24"/>
                <w:lang w:val="en-US" w:eastAsia="zh-CN"/>
              </w:rPr>
            </w:pPr>
            <w:r>
              <w:rPr>
                <w:rFonts w:hint="eastAsia" w:ascii="宋体" w:hAnsi="宋体" w:cs="宋体"/>
                <w:color w:val="000000"/>
                <w:sz w:val="24"/>
                <w:lang w:val="en-US" w:eastAsia="zh-CN"/>
              </w:rPr>
              <w:t>副局长</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7AD88">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cs="宋体"/>
                <w:color w:val="000000"/>
                <w:kern w:val="0"/>
                <w:sz w:val="24"/>
                <w:lang w:val="en-US" w:eastAsia="zh-CN"/>
              </w:rPr>
            </w:pPr>
          </w:p>
        </w:tc>
      </w:tr>
      <w:tr w14:paraId="2523D450">
        <w:tblPrEx>
          <w:tblCellMar>
            <w:top w:w="0" w:type="dxa"/>
            <w:left w:w="108" w:type="dxa"/>
            <w:bottom w:w="0" w:type="dxa"/>
            <w:right w:w="108" w:type="dxa"/>
          </w:tblCellMar>
        </w:tblPrEx>
        <w:trPr>
          <w:trHeight w:val="567" w:hRule="exac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A95F7">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kern w:val="0"/>
                <w:sz w:val="24"/>
                <w:lang w:val="en-US" w:eastAsia="zh-CN"/>
              </w:rPr>
            </w:pPr>
            <w:r>
              <w:rPr>
                <w:rFonts w:hint="eastAsia" w:ascii="宋体" w:hAnsi="宋体" w:cs="宋体"/>
                <w:color w:val="000000"/>
                <w:kern w:val="0"/>
                <w:sz w:val="24"/>
                <w:lang w:val="en-US" w:eastAsia="zh-CN"/>
              </w:rPr>
              <w:t>4</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1BD27">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sz w:val="24"/>
                <w:lang w:eastAsia="zh-CN"/>
              </w:rPr>
            </w:pPr>
            <w:r>
              <w:rPr>
                <w:rFonts w:hint="eastAsia" w:ascii="宋体" w:hAnsi="宋体" w:cs="宋体"/>
                <w:color w:val="000000"/>
                <w:sz w:val="24"/>
                <w:lang w:val="en-US" w:eastAsia="zh-CN"/>
              </w:rPr>
              <w:t>刘辉强</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81018">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kern w:val="0"/>
                <w:sz w:val="24"/>
                <w:lang w:eastAsia="zh-CN"/>
              </w:rPr>
            </w:pPr>
            <w:r>
              <w:rPr>
                <w:rFonts w:hint="eastAsia" w:ascii="宋体" w:hAnsi="宋体" w:eastAsia="宋体" w:cs="宋体"/>
                <w:color w:val="000000"/>
                <w:kern w:val="0"/>
                <w:sz w:val="24"/>
                <w:lang w:eastAsia="zh-CN"/>
              </w:rPr>
              <w:t>赵县发展和改革局</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8D753">
            <w:pPr>
              <w:keepNext w:val="0"/>
              <w:keepLines w:val="0"/>
              <w:pageBreakBefore w:val="0"/>
              <w:widowControl/>
              <w:kinsoku/>
              <w:wordWrap/>
              <w:overflowPunct/>
              <w:topLinePunct w:val="0"/>
              <w:autoSpaceDE/>
              <w:autoSpaceDN/>
              <w:bidi w:val="0"/>
              <w:adjustRightInd/>
              <w:snapToGrid/>
              <w:jc w:val="center"/>
              <w:textAlignment w:val="center"/>
              <w:rPr>
                <w:rFonts w:hint="default" w:ascii="宋体" w:hAnsi="宋体" w:cs="宋体"/>
                <w:color w:val="000000"/>
                <w:kern w:val="0"/>
                <w:sz w:val="24"/>
                <w:lang w:val="en-US" w:eastAsia="zh-CN"/>
              </w:rPr>
            </w:pPr>
            <w:r>
              <w:rPr>
                <w:rFonts w:hint="eastAsia" w:ascii="宋体" w:hAnsi="宋体" w:cs="宋体"/>
                <w:color w:val="000000"/>
                <w:sz w:val="24"/>
                <w:lang w:val="en-US" w:eastAsia="zh-CN"/>
              </w:rPr>
              <w:t>副局长</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BCBE7">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cs="宋体"/>
                <w:color w:val="000000"/>
                <w:kern w:val="0"/>
                <w:sz w:val="24"/>
                <w:lang w:val="en-US" w:eastAsia="zh-CN"/>
              </w:rPr>
            </w:pPr>
          </w:p>
        </w:tc>
      </w:tr>
      <w:tr w14:paraId="38562606">
        <w:tblPrEx>
          <w:tblCellMar>
            <w:top w:w="0" w:type="dxa"/>
            <w:left w:w="108" w:type="dxa"/>
            <w:bottom w:w="0" w:type="dxa"/>
            <w:right w:w="108" w:type="dxa"/>
          </w:tblCellMar>
        </w:tblPrEx>
        <w:trPr>
          <w:trHeight w:val="567" w:hRule="exact"/>
        </w:trPr>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FFAEB">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kern w:val="0"/>
                <w:sz w:val="24"/>
                <w:lang w:val="en-US" w:eastAsia="zh-CN"/>
              </w:rPr>
            </w:pPr>
            <w:r>
              <w:rPr>
                <w:rFonts w:hint="eastAsia" w:ascii="宋体" w:hAnsi="宋体" w:cs="宋体"/>
                <w:color w:val="000000"/>
                <w:kern w:val="0"/>
                <w:sz w:val="24"/>
                <w:lang w:val="en-US" w:eastAsia="zh-CN"/>
              </w:rPr>
              <w:t>5</w:t>
            </w:r>
          </w:p>
        </w:tc>
        <w:tc>
          <w:tcPr>
            <w:tcW w:w="1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4199F">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cs="宋体"/>
                <w:color w:val="000000"/>
                <w:sz w:val="24"/>
                <w:lang w:eastAsia="zh-CN"/>
              </w:rPr>
            </w:pPr>
            <w:r>
              <w:rPr>
                <w:rFonts w:hint="eastAsia" w:ascii="宋体" w:hAnsi="宋体" w:cs="宋体"/>
                <w:color w:val="000000"/>
                <w:sz w:val="24"/>
                <w:lang w:val="en-US" w:eastAsia="zh-CN"/>
              </w:rPr>
              <w:t>顼建勋</w:t>
            </w:r>
          </w:p>
        </w:tc>
        <w:tc>
          <w:tcPr>
            <w:tcW w:w="1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FD9E4">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eastAsia="宋体" w:cs="宋体"/>
                <w:color w:val="000000"/>
                <w:kern w:val="0"/>
                <w:sz w:val="24"/>
                <w:lang w:eastAsia="zh-CN"/>
              </w:rPr>
            </w:pPr>
            <w:r>
              <w:rPr>
                <w:rFonts w:hint="eastAsia" w:ascii="宋体" w:hAnsi="宋体" w:eastAsia="宋体" w:cs="宋体"/>
                <w:color w:val="000000"/>
                <w:kern w:val="0"/>
                <w:sz w:val="24"/>
                <w:lang w:eastAsia="zh-CN"/>
              </w:rPr>
              <w:t>赵县发展和改革局</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9494E">
            <w:pPr>
              <w:keepNext w:val="0"/>
              <w:keepLines w:val="0"/>
              <w:pageBreakBefore w:val="0"/>
              <w:widowControl/>
              <w:kinsoku/>
              <w:wordWrap/>
              <w:overflowPunct/>
              <w:topLinePunct w:val="0"/>
              <w:autoSpaceDE/>
              <w:autoSpaceDN/>
              <w:bidi w:val="0"/>
              <w:adjustRightInd/>
              <w:snapToGrid/>
              <w:jc w:val="center"/>
              <w:textAlignment w:val="center"/>
              <w:rPr>
                <w:rFonts w:hint="default" w:ascii="宋体" w:hAnsi="宋体" w:cs="宋体"/>
                <w:color w:val="000000"/>
                <w:kern w:val="0"/>
                <w:sz w:val="24"/>
                <w:lang w:val="en-US" w:eastAsia="zh-CN"/>
              </w:rPr>
            </w:pPr>
            <w:r>
              <w:rPr>
                <w:rFonts w:hint="eastAsia" w:ascii="宋体" w:hAnsi="宋体" w:cs="宋体"/>
                <w:color w:val="000000"/>
                <w:kern w:val="0"/>
                <w:sz w:val="24"/>
                <w:lang w:val="en-US" w:eastAsia="zh-CN"/>
              </w:rPr>
              <w:t>党组成员</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A80B0">
            <w:pPr>
              <w:keepNext w:val="0"/>
              <w:keepLines w:val="0"/>
              <w:pageBreakBefore w:val="0"/>
              <w:widowControl/>
              <w:kinsoku/>
              <w:wordWrap/>
              <w:overflowPunct/>
              <w:topLinePunct w:val="0"/>
              <w:autoSpaceDE/>
              <w:autoSpaceDN/>
              <w:bidi w:val="0"/>
              <w:adjustRightInd/>
              <w:snapToGrid/>
              <w:jc w:val="center"/>
              <w:textAlignment w:val="center"/>
              <w:rPr>
                <w:rFonts w:hint="eastAsia" w:ascii="宋体" w:hAnsi="宋体" w:cs="宋体"/>
                <w:color w:val="000000"/>
                <w:kern w:val="0"/>
                <w:sz w:val="24"/>
                <w:lang w:val="en-US" w:eastAsia="zh-CN"/>
              </w:rPr>
            </w:pPr>
          </w:p>
        </w:tc>
      </w:tr>
    </w:tbl>
    <w:p w14:paraId="4F62624A">
      <w:pPr>
        <w:spacing w:line="560" w:lineRule="exact"/>
        <w:rPr>
          <w:rFonts w:ascii="仿宋" w:hAnsi="仿宋" w:eastAsia="仿宋"/>
        </w:rPr>
      </w:pP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A18C4">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8052AA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9721397"/>
    <w:rsid w:val="0BB63BED"/>
    <w:rsid w:val="0EB97A43"/>
    <w:rsid w:val="0EBD2122"/>
    <w:rsid w:val="0F214EAE"/>
    <w:rsid w:val="11B71E6A"/>
    <w:rsid w:val="1AAF0063"/>
    <w:rsid w:val="1BE140DE"/>
    <w:rsid w:val="1D491BD5"/>
    <w:rsid w:val="248C197D"/>
    <w:rsid w:val="252959AF"/>
    <w:rsid w:val="277A6671"/>
    <w:rsid w:val="281A529E"/>
    <w:rsid w:val="292D35B7"/>
    <w:rsid w:val="31C336D4"/>
    <w:rsid w:val="33EB6CFF"/>
    <w:rsid w:val="35A12947"/>
    <w:rsid w:val="37387040"/>
    <w:rsid w:val="3A7C2BAF"/>
    <w:rsid w:val="3B625C0A"/>
    <w:rsid w:val="3CEE1963"/>
    <w:rsid w:val="436B78D3"/>
    <w:rsid w:val="4C9C27FE"/>
    <w:rsid w:val="512260B4"/>
    <w:rsid w:val="52BD6ACB"/>
    <w:rsid w:val="55537534"/>
    <w:rsid w:val="561A74F1"/>
    <w:rsid w:val="597244E8"/>
    <w:rsid w:val="5EB71C30"/>
    <w:rsid w:val="66AF0CE5"/>
    <w:rsid w:val="6AC537CF"/>
    <w:rsid w:val="6D9877EF"/>
    <w:rsid w:val="6E5B14A6"/>
    <w:rsid w:val="711B255E"/>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2893</Words>
  <Characters>3090</Characters>
  <Lines>4</Lines>
  <Paragraphs>1</Paragraphs>
  <TotalTime>3</TotalTime>
  <ScaleCrop>false</ScaleCrop>
  <LinksUpToDate>false</LinksUpToDate>
  <CharactersWithSpaces>3133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2026-04-29T02:31:59Z</cp:lastPrinted>
  <dcterms:modified xsi:type="dcterms:W3CDTF">2026-04-29T02:40:31Z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eyJoZGlkIjoiZDQxMjgwNmI2OTk4ZWUzMDgyZWM4MTJhMDNlZDE2MjUifQ==</vt:lpwstr>
  </property>
</Properties>
</file>