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DC275">
      <w:pPr>
        <w:adjustRightInd w:val="0"/>
        <w:snapToGrid w:val="0"/>
        <w:spacing w:line="560" w:lineRule="exact"/>
        <w:rPr>
          <w:rFonts w:ascii="黑体" w:hAnsi="黑体" w:eastAsia="黑体"/>
          <w:sz w:val="32"/>
          <w:szCs w:val="32"/>
        </w:rPr>
      </w:pPr>
      <w:r>
        <w:rPr>
          <w:rFonts w:hint="eastAsia" w:ascii="黑体" w:hAnsi="黑体" w:eastAsia="黑体"/>
          <w:sz w:val="32"/>
          <w:szCs w:val="32"/>
        </w:rPr>
        <w:t>附件4</w:t>
      </w:r>
    </w:p>
    <w:p w14:paraId="6168AC31">
      <w:pPr>
        <w:spacing w:line="560" w:lineRule="exact"/>
        <w:jc w:val="center"/>
        <w:rPr>
          <w:rFonts w:ascii="宋体" w:hAnsi="宋体" w:cs="宋体"/>
          <w:b/>
          <w:bCs/>
          <w:sz w:val="44"/>
          <w:szCs w:val="44"/>
        </w:rPr>
      </w:pPr>
    </w:p>
    <w:p w14:paraId="463880EE">
      <w:pPr>
        <w:spacing w:line="560" w:lineRule="exact"/>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赵县前大章乡人民政府</w:t>
      </w:r>
    </w:p>
    <w:p w14:paraId="010BC72C">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346852EC">
      <w:pPr>
        <w:spacing w:line="560" w:lineRule="exact"/>
        <w:jc w:val="center"/>
        <w:rPr>
          <w:rFonts w:ascii="华文楷体" w:eastAsia="华文楷体"/>
          <w:sz w:val="32"/>
          <w:szCs w:val="32"/>
        </w:rPr>
      </w:pPr>
    </w:p>
    <w:p w14:paraId="5017F2EB">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贯彻落实县委、县政府《全面落实预算绩效管理的实施意见》（[2019]77）文件精神，遵循“科学性、规范性、客观性和公正性”的原则，对</w:t>
      </w:r>
      <w:r>
        <w:rPr>
          <w:rFonts w:hint="eastAsia" w:ascii="仿宋" w:hAnsi="仿宋" w:eastAsia="仿宋"/>
          <w:sz w:val="32"/>
          <w:szCs w:val="32"/>
          <w:lang w:eastAsia="zh-CN"/>
        </w:rPr>
        <w:t>赵县</w:t>
      </w:r>
      <w:r>
        <w:rPr>
          <w:rFonts w:hint="eastAsia" w:ascii="仿宋" w:hAnsi="仿宋" w:eastAsia="仿宋"/>
          <w:sz w:val="32"/>
          <w:szCs w:val="32"/>
          <w:lang w:val="en-US" w:eastAsia="zh-CN"/>
        </w:rPr>
        <w:t>前大章乡人民</w:t>
      </w:r>
      <w:r>
        <w:rPr>
          <w:rFonts w:hint="eastAsia" w:ascii="仿宋" w:hAnsi="仿宋" w:eastAsia="仿宋"/>
          <w:sz w:val="32"/>
          <w:szCs w:val="32"/>
        </w:rPr>
        <w:t>政府202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6BA3E43E">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258B457B">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4AB60B2B">
      <w:pPr>
        <w:spacing w:line="500" w:lineRule="exact"/>
        <w:ind w:firstLine="640" w:firstLineChars="200"/>
        <w:rPr>
          <w:rFonts w:ascii="仿宋" w:hAnsi="仿宋" w:eastAsia="仿宋"/>
          <w:sz w:val="32"/>
          <w:szCs w:val="32"/>
        </w:rPr>
      </w:pPr>
      <w:r>
        <w:rPr>
          <w:rFonts w:ascii="仿宋" w:hAnsi="仿宋" w:eastAsia="仿宋"/>
          <w:sz w:val="32"/>
          <w:szCs w:val="32"/>
        </w:rPr>
        <w:t>宣传、贯彻、执行党的路线方针政策和国家的法律、法规，执行本级人民代表大会的决议和上级国家行政机关的决定和命令。其主要职能为：</w:t>
      </w:r>
    </w:p>
    <w:p w14:paraId="0E1F16B1">
      <w:pPr>
        <w:spacing w:line="500" w:lineRule="exact"/>
        <w:ind w:firstLine="640" w:firstLineChars="200"/>
        <w:rPr>
          <w:rFonts w:ascii="仿宋" w:hAnsi="仿宋" w:eastAsia="仿宋"/>
          <w:sz w:val="32"/>
          <w:szCs w:val="32"/>
        </w:rPr>
      </w:pPr>
      <w:r>
        <w:rPr>
          <w:rFonts w:ascii="仿宋" w:hAnsi="仿宋" w:eastAsia="仿宋"/>
          <w:sz w:val="32"/>
          <w:szCs w:val="32"/>
        </w:rPr>
        <w:t>（1）促进经济发展。1、搞好本乡</w:t>
      </w:r>
      <w:r>
        <w:rPr>
          <w:rFonts w:hint="eastAsia" w:ascii="仿宋" w:hAnsi="仿宋" w:eastAsia="仿宋"/>
          <w:sz w:val="32"/>
          <w:szCs w:val="32"/>
          <w:lang w:eastAsia="zh-CN"/>
        </w:rPr>
        <w:t>乡</w:t>
      </w:r>
      <w:r>
        <w:rPr>
          <w:rFonts w:ascii="仿宋" w:hAnsi="仿宋" w:eastAsia="仿宋"/>
          <w:sz w:val="32"/>
          <w:szCs w:val="32"/>
        </w:rPr>
        <w:t>产业发展规划引导民立足自身资源和区位条件，发挥优势，大力发展区域特色经济。2、加强工业经济管理，为招商引资营造良好环境；3、配合民政、商务和供销社等部门，培育和发展农村经济。</w:t>
      </w:r>
    </w:p>
    <w:p w14:paraId="0AE0FE58">
      <w:pPr>
        <w:spacing w:line="500" w:lineRule="exact"/>
        <w:ind w:firstLine="640" w:firstLineChars="200"/>
        <w:rPr>
          <w:rFonts w:ascii="仿宋" w:hAnsi="仿宋" w:eastAsia="仿宋"/>
          <w:sz w:val="32"/>
          <w:szCs w:val="32"/>
        </w:rPr>
      </w:pPr>
      <w:r>
        <w:rPr>
          <w:rFonts w:ascii="仿宋" w:hAnsi="仿宋" w:eastAsia="仿宋"/>
          <w:sz w:val="32"/>
          <w:szCs w:val="32"/>
        </w:rPr>
        <w:t>（2）加强社会管理。1、加强乡村财政资金监督管理；2、做好人口和计划生育管理工作及计生协会工作；3推进农村门主政治建设和村民自治；4、加强农村精神文明和生态文明建设；5、配合住建、国土部门做好乡村规划建设，保护耕地；6、配合安监部门做好安全生产监督工作；7、配合武装部做好征兵工作；8配合环保部门做好环境保护工作；9、配合交通部门完善道路硬化，加强公路养护。</w:t>
      </w:r>
    </w:p>
    <w:p w14:paraId="6ECCA1DD">
      <w:pPr>
        <w:spacing w:line="500" w:lineRule="exact"/>
        <w:ind w:firstLine="640" w:firstLineChars="200"/>
        <w:rPr>
          <w:rFonts w:ascii="仿宋" w:hAnsi="仿宋" w:eastAsia="仿宋"/>
          <w:sz w:val="32"/>
          <w:szCs w:val="32"/>
        </w:rPr>
      </w:pPr>
      <w:r>
        <w:rPr>
          <w:rFonts w:ascii="仿宋" w:hAnsi="仿宋" w:eastAsia="仿宋"/>
          <w:sz w:val="32"/>
          <w:szCs w:val="32"/>
        </w:rPr>
        <w:t>（3）提供公共服务。1、量力组织乡村公共基础设施建设；2、配合教育、科技、卫生等部门搞好九年义务教育；3配合农口部门做好农业技术服务和技术推广、动物检疫工作；4、配合广播电视、电力、电信等部门做好普及有线电视、电网改造工作；5、配合民政、残联等部门做好农村扶贫和低保工作以及特困户救助和残疾人服务工作；6、配合人力资源和社会保障部门做好农村劳动力职业培训、劳动就业和社会保障工作。</w:t>
      </w:r>
    </w:p>
    <w:p w14:paraId="514335C2">
      <w:pPr>
        <w:spacing w:line="500" w:lineRule="exact"/>
        <w:ind w:firstLine="640" w:firstLineChars="200"/>
        <w:rPr>
          <w:rFonts w:ascii="仿宋" w:hAnsi="仿宋" w:eastAsia="仿宋"/>
          <w:sz w:val="32"/>
          <w:szCs w:val="32"/>
        </w:rPr>
      </w:pPr>
      <w:r>
        <w:rPr>
          <w:rFonts w:ascii="仿宋" w:hAnsi="仿宋" w:eastAsia="仿宋"/>
          <w:sz w:val="32"/>
          <w:szCs w:val="32"/>
        </w:rPr>
        <w:t>（4）维护社会稳定。1做好社会管理综合治理工作；2、宣传贯彻国家法律法规和政策；3、做好司法、宗教工作，打击邪教；4、做好群众来访、法律咨询、搞好矛盾排查；5、妥善处理突发性、群体性时间，维护社会稳定；6协助司法机关打击各类刑事犯罪活动。</w:t>
      </w:r>
    </w:p>
    <w:p w14:paraId="23CBE2EF">
      <w:pPr>
        <w:pStyle w:val="7"/>
        <w:rPr>
          <w:rFonts w:ascii="仿宋" w:hAnsi="仿宋" w:eastAsia="仿宋"/>
          <w:sz w:val="32"/>
          <w:szCs w:val="32"/>
        </w:rPr>
      </w:pPr>
    </w:p>
    <w:p w14:paraId="38B396C5">
      <w:pPr>
        <w:spacing w:line="500" w:lineRule="exact"/>
        <w:ind w:firstLine="640"/>
        <w:rPr>
          <w:rFonts w:ascii="仿宋" w:hAnsi="仿宋" w:eastAsia="仿宋"/>
          <w:sz w:val="32"/>
          <w:szCs w:val="32"/>
        </w:rPr>
      </w:pPr>
      <w:r>
        <w:rPr>
          <w:rFonts w:ascii="仿宋" w:hAnsi="仿宋" w:eastAsia="仿宋" w:cs="方正楷体_GBK"/>
          <w:b/>
          <w:color w:val="000000"/>
          <w:sz w:val="32"/>
          <w:szCs w:val="32"/>
        </w:rPr>
        <w:t>机构设置：</w:t>
      </w:r>
    </w:p>
    <w:p w14:paraId="13CE6DFC">
      <w:pPr>
        <w:spacing w:line="500" w:lineRule="exact"/>
        <w:jc w:val="center"/>
        <w:rPr>
          <w:rFonts w:ascii="仿宋" w:hAnsi="仿宋" w:eastAsia="仿宋"/>
          <w:sz w:val="32"/>
          <w:szCs w:val="32"/>
        </w:rPr>
      </w:pPr>
      <w:r>
        <w:rPr>
          <w:rFonts w:ascii="仿宋" w:hAnsi="仿宋" w:eastAsia="仿宋" w:cs="方正小标宋_GBK"/>
          <w:color w:val="000000"/>
          <w:sz w:val="32"/>
          <w:szCs w:val="32"/>
        </w:rPr>
        <w:t>单位机构设置情况</w:t>
      </w:r>
    </w:p>
    <w:tbl>
      <w:tblPr>
        <w:tblStyle w:val="5"/>
        <w:tblW w:w="877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101"/>
        <w:gridCol w:w="1313"/>
        <w:gridCol w:w="1433"/>
        <w:gridCol w:w="2929"/>
      </w:tblGrid>
      <w:tr w14:paraId="4AA98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tblHeader/>
        </w:trPr>
        <w:tc>
          <w:tcPr>
            <w:tcW w:w="3101" w:type="dxa"/>
            <w:vAlign w:val="center"/>
          </w:tcPr>
          <w:p w14:paraId="45C14A38">
            <w:pPr>
              <w:pStyle w:val="8"/>
              <w:spacing w:line="500" w:lineRule="exact"/>
              <w:rPr>
                <w:rFonts w:ascii="仿宋" w:hAnsi="仿宋" w:eastAsia="仿宋"/>
                <w:sz w:val="32"/>
                <w:szCs w:val="32"/>
              </w:rPr>
            </w:pPr>
            <w:r>
              <w:rPr>
                <w:rFonts w:ascii="仿宋" w:hAnsi="仿宋" w:eastAsia="仿宋"/>
                <w:sz w:val="32"/>
                <w:szCs w:val="32"/>
              </w:rPr>
              <w:t>单位名称</w:t>
            </w:r>
          </w:p>
        </w:tc>
        <w:tc>
          <w:tcPr>
            <w:tcW w:w="1313" w:type="dxa"/>
            <w:vAlign w:val="center"/>
          </w:tcPr>
          <w:p w14:paraId="674E6A96">
            <w:pPr>
              <w:pStyle w:val="8"/>
              <w:spacing w:line="500" w:lineRule="exact"/>
              <w:rPr>
                <w:rFonts w:ascii="仿宋" w:hAnsi="仿宋" w:eastAsia="仿宋"/>
                <w:sz w:val="32"/>
                <w:szCs w:val="32"/>
              </w:rPr>
            </w:pPr>
            <w:r>
              <w:rPr>
                <w:rFonts w:ascii="仿宋" w:hAnsi="仿宋" w:eastAsia="仿宋"/>
                <w:sz w:val="32"/>
                <w:szCs w:val="32"/>
              </w:rPr>
              <w:t>单位性质</w:t>
            </w:r>
          </w:p>
        </w:tc>
        <w:tc>
          <w:tcPr>
            <w:tcW w:w="1433" w:type="dxa"/>
            <w:vAlign w:val="center"/>
          </w:tcPr>
          <w:p w14:paraId="2522654D">
            <w:pPr>
              <w:pStyle w:val="8"/>
              <w:spacing w:line="500" w:lineRule="exact"/>
              <w:rPr>
                <w:rFonts w:ascii="仿宋" w:hAnsi="仿宋" w:eastAsia="仿宋"/>
                <w:sz w:val="32"/>
                <w:szCs w:val="32"/>
              </w:rPr>
            </w:pPr>
            <w:r>
              <w:rPr>
                <w:rFonts w:ascii="仿宋" w:hAnsi="仿宋" w:eastAsia="仿宋"/>
                <w:sz w:val="32"/>
                <w:szCs w:val="32"/>
              </w:rPr>
              <w:t>单位规格</w:t>
            </w:r>
          </w:p>
        </w:tc>
        <w:tc>
          <w:tcPr>
            <w:tcW w:w="2929" w:type="dxa"/>
            <w:vAlign w:val="center"/>
          </w:tcPr>
          <w:p w14:paraId="3412D56B">
            <w:pPr>
              <w:pStyle w:val="8"/>
              <w:spacing w:line="500" w:lineRule="exact"/>
              <w:rPr>
                <w:rFonts w:ascii="仿宋" w:hAnsi="仿宋" w:eastAsia="仿宋"/>
                <w:sz w:val="32"/>
                <w:szCs w:val="32"/>
              </w:rPr>
            </w:pPr>
            <w:r>
              <w:rPr>
                <w:rFonts w:ascii="仿宋" w:hAnsi="仿宋" w:eastAsia="仿宋"/>
                <w:sz w:val="32"/>
                <w:szCs w:val="32"/>
              </w:rPr>
              <w:t>经费保障形式</w:t>
            </w:r>
          </w:p>
        </w:tc>
      </w:tr>
      <w:tr w14:paraId="208D9C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3101" w:type="dxa"/>
            <w:vAlign w:val="center"/>
          </w:tcPr>
          <w:p w14:paraId="7ACC86C1">
            <w:pPr>
              <w:pStyle w:val="9"/>
              <w:spacing w:line="500" w:lineRule="exact"/>
              <w:rPr>
                <w:rFonts w:ascii="仿宋" w:hAnsi="仿宋" w:eastAsia="仿宋"/>
                <w:sz w:val="32"/>
                <w:szCs w:val="32"/>
              </w:rPr>
            </w:pPr>
            <w:r>
              <w:rPr>
                <w:rFonts w:ascii="仿宋" w:hAnsi="仿宋" w:eastAsia="仿宋"/>
                <w:sz w:val="32"/>
                <w:szCs w:val="32"/>
              </w:rPr>
              <w:t>赵县</w:t>
            </w:r>
            <w:r>
              <w:rPr>
                <w:rFonts w:hint="eastAsia" w:ascii="仿宋" w:hAnsi="仿宋" w:eastAsia="仿宋"/>
                <w:sz w:val="32"/>
                <w:szCs w:val="32"/>
                <w:lang w:eastAsia="zh-CN"/>
              </w:rPr>
              <w:t>前大章乡</w:t>
            </w:r>
            <w:r>
              <w:rPr>
                <w:rFonts w:ascii="仿宋" w:hAnsi="仿宋" w:eastAsia="仿宋"/>
                <w:sz w:val="32"/>
                <w:szCs w:val="32"/>
              </w:rPr>
              <w:t>人民政府本级</w:t>
            </w:r>
          </w:p>
        </w:tc>
        <w:tc>
          <w:tcPr>
            <w:tcW w:w="1313" w:type="dxa"/>
            <w:vAlign w:val="center"/>
          </w:tcPr>
          <w:p w14:paraId="4622D170">
            <w:pPr>
              <w:pStyle w:val="10"/>
              <w:spacing w:line="500" w:lineRule="exact"/>
              <w:rPr>
                <w:rFonts w:ascii="仿宋" w:hAnsi="仿宋" w:eastAsia="仿宋"/>
                <w:sz w:val="32"/>
                <w:szCs w:val="32"/>
              </w:rPr>
            </w:pPr>
            <w:r>
              <w:rPr>
                <w:rFonts w:ascii="仿宋" w:hAnsi="仿宋" w:eastAsia="仿宋"/>
                <w:sz w:val="32"/>
                <w:szCs w:val="32"/>
              </w:rPr>
              <w:t>行政</w:t>
            </w:r>
          </w:p>
        </w:tc>
        <w:tc>
          <w:tcPr>
            <w:tcW w:w="1433" w:type="dxa"/>
            <w:vAlign w:val="center"/>
          </w:tcPr>
          <w:p w14:paraId="159A4904">
            <w:pPr>
              <w:pStyle w:val="10"/>
              <w:spacing w:line="500" w:lineRule="exact"/>
              <w:rPr>
                <w:rFonts w:ascii="仿宋" w:hAnsi="仿宋" w:eastAsia="仿宋"/>
                <w:sz w:val="32"/>
                <w:szCs w:val="32"/>
              </w:rPr>
            </w:pPr>
            <w:r>
              <w:rPr>
                <w:rFonts w:ascii="仿宋" w:hAnsi="仿宋" w:eastAsia="仿宋"/>
                <w:sz w:val="32"/>
                <w:szCs w:val="32"/>
              </w:rPr>
              <w:t>正科级</w:t>
            </w:r>
          </w:p>
        </w:tc>
        <w:tc>
          <w:tcPr>
            <w:tcW w:w="2929" w:type="dxa"/>
            <w:vAlign w:val="center"/>
          </w:tcPr>
          <w:p w14:paraId="34743BF8">
            <w:pPr>
              <w:pStyle w:val="10"/>
              <w:spacing w:line="500" w:lineRule="exact"/>
              <w:rPr>
                <w:rFonts w:ascii="仿宋" w:hAnsi="仿宋" w:eastAsia="仿宋"/>
                <w:sz w:val="32"/>
                <w:szCs w:val="32"/>
              </w:rPr>
            </w:pPr>
            <w:r>
              <w:rPr>
                <w:rFonts w:ascii="仿宋" w:hAnsi="仿宋" w:eastAsia="仿宋"/>
                <w:sz w:val="32"/>
                <w:szCs w:val="32"/>
              </w:rPr>
              <w:t>财政拨款</w:t>
            </w:r>
          </w:p>
        </w:tc>
      </w:tr>
    </w:tbl>
    <w:p w14:paraId="0F73DF12">
      <w:pPr>
        <w:snapToGrid w:val="0"/>
        <w:spacing w:line="5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人员情况。</w:t>
      </w:r>
    </w:p>
    <w:p w14:paraId="505792B6">
      <w:pPr>
        <w:snapToGrid w:val="0"/>
        <w:spacing w:line="52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截至</w:t>
      </w:r>
      <w:bookmarkStart w:id="0" w:name="_GoBack"/>
      <w:bookmarkEnd w:id="0"/>
      <w:r>
        <w:rPr>
          <w:rFonts w:hint="eastAsia" w:ascii="仿宋_GB2312" w:hAnsi="仿宋" w:eastAsia="仿宋_GB2312" w:cs="Times New Roman"/>
          <w:sz w:val="32"/>
          <w:szCs w:val="32"/>
          <w:lang w:val="en-US" w:eastAsia="zh-CN"/>
        </w:rPr>
        <w:t>2025年底，年末实有人数50人，其中行政编人数30人、非参公事业人员20人。</w:t>
      </w:r>
    </w:p>
    <w:p w14:paraId="58E9AE32">
      <w:pPr>
        <w:pStyle w:val="4"/>
        <w:numPr>
          <w:ilvl w:val="0"/>
          <w:numId w:val="1"/>
        </w:numPr>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资产情况。</w:t>
      </w:r>
    </w:p>
    <w:p w14:paraId="40968992">
      <w:pPr>
        <w:adjustRightInd w:val="0"/>
        <w:snapToGrid w:val="0"/>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 xml:space="preserve"> 2025年年末固定资产原值为398.25万元，其中房屋和构筑物189.37万元；设备151.12万元；图书和档案0.89万元；家具和用具48.87万元。</w:t>
      </w:r>
    </w:p>
    <w:p w14:paraId="0B4F33EB">
      <w:pPr>
        <w:numPr>
          <w:ilvl w:val="0"/>
          <w:numId w:val="2"/>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7B15C5E9">
      <w:pPr>
        <w:spacing w:line="520" w:lineRule="exact"/>
        <w:ind w:firstLine="640" w:firstLineChars="200"/>
        <w:rPr>
          <w:rFonts w:hint="eastAsia" w:ascii="仿宋" w:hAnsi="仿宋" w:eastAsia="仿宋" w:cs="仿宋"/>
          <w:bCs/>
          <w:sz w:val="32"/>
          <w:szCs w:val="32"/>
          <w:highlight w:val="none"/>
          <w:lang w:val="en-US" w:eastAsia="zh-CN"/>
        </w:rPr>
      </w:pPr>
      <w:r>
        <w:rPr>
          <w:rFonts w:hint="eastAsia" w:ascii="楷体" w:hAnsi="楷体" w:eastAsia="楷体" w:cs="楷体_GB2312"/>
          <w:bCs/>
          <w:sz w:val="32"/>
          <w:szCs w:val="32"/>
          <w:lang w:val="en-US" w:eastAsia="zh-CN"/>
        </w:rPr>
        <w:t xml:space="preserve"> </w:t>
      </w:r>
      <w:r>
        <w:rPr>
          <w:rFonts w:hint="eastAsia" w:ascii="仿宋" w:hAnsi="仿宋" w:eastAsia="仿宋" w:cs="仿宋"/>
          <w:bCs/>
          <w:sz w:val="32"/>
          <w:szCs w:val="32"/>
          <w:highlight w:val="none"/>
          <w:lang w:val="en-US" w:eastAsia="zh-CN"/>
        </w:rPr>
        <w:t>按照预算管理有关规定，目前我部门预算的编制实行综合预算管理，即全部收入和支出都反映在预算中。赵县谢庄镇人民政府机关及所属事业单位的收支包含在部门预算中。</w:t>
      </w:r>
    </w:p>
    <w:p w14:paraId="426A9C4E">
      <w:pPr>
        <w:numPr>
          <w:ilvl w:val="0"/>
          <w:numId w:val="3"/>
        </w:numPr>
        <w:spacing w:line="520" w:lineRule="exact"/>
        <w:ind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收入说明</w:t>
      </w:r>
    </w:p>
    <w:p w14:paraId="7C6B799A">
      <w:pPr>
        <w:numPr>
          <w:ilvl w:val="0"/>
          <w:numId w:val="0"/>
        </w:numPr>
        <w:spacing w:line="520" w:lineRule="exact"/>
        <w:ind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2025年预算收入934.93万元，其中：基本支出679.07万元，项目支出255.86万元，基金预算收入0万元，财政专户核拨收入0万元。</w:t>
      </w:r>
    </w:p>
    <w:p w14:paraId="2FCFAEE9">
      <w:pPr>
        <w:numPr>
          <w:ilvl w:val="0"/>
          <w:numId w:val="3"/>
        </w:numPr>
        <w:spacing w:line="520" w:lineRule="exact"/>
        <w:ind w:left="0" w:leftChars="0"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支出说明</w:t>
      </w:r>
    </w:p>
    <w:p w14:paraId="00742391">
      <w:pPr>
        <w:numPr>
          <w:ilvl w:val="0"/>
          <w:numId w:val="0"/>
        </w:numPr>
        <w:spacing w:line="520" w:lineRule="exact"/>
        <w:ind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 xml:space="preserve"> 2025年预算支出934.93万元，其中：基本支出679.07万元，包括人员经费 578.46万元和公用经费 100.61万元（含交通补贴、通讯补贴）；项目支出255.86万元，涉及项目有人大代表活动经费、武装工作专项经费、补助经费（乡村人居环境整治）、乡村振兴（人居环境改善提升）、服务群众专项（党报党刊征订费用）、公益项目绿化占地补偿、基础设施提升资金、型煤炉具补贴资金（多康）。</w:t>
      </w:r>
    </w:p>
    <w:p w14:paraId="1E73E038">
      <w:pPr>
        <w:numPr>
          <w:ilvl w:val="0"/>
          <w:numId w:val="3"/>
        </w:numPr>
        <w:spacing w:line="520" w:lineRule="exact"/>
        <w:ind w:left="0" w:leftChars="0"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比上年增减情况</w:t>
      </w:r>
    </w:p>
    <w:p w14:paraId="03DE64B7">
      <w:pPr>
        <w:snapToGrid w:val="0"/>
        <w:spacing w:line="520" w:lineRule="exact"/>
        <w:ind w:firstLine="640" w:firstLineChars="200"/>
        <w:rPr>
          <w:rFonts w:hint="default" w:ascii="楷体" w:hAnsi="楷体" w:eastAsia="楷体" w:cs="楷体_GB2312"/>
          <w:bCs/>
          <w:sz w:val="32"/>
          <w:szCs w:val="32"/>
          <w:lang w:val="en-US" w:eastAsia="zh-CN"/>
        </w:rPr>
      </w:pPr>
      <w:r>
        <w:rPr>
          <w:rFonts w:hint="eastAsia" w:ascii="仿宋" w:hAnsi="仿宋" w:eastAsia="仿宋" w:cs="仿宋"/>
          <w:bCs/>
          <w:sz w:val="32"/>
          <w:szCs w:val="32"/>
          <w:highlight w:val="none"/>
          <w:lang w:val="en-US" w:eastAsia="zh-CN"/>
        </w:rPr>
        <w:t>2025年预算收入安排934.93万元，较2024年预算减少25.51万元，其中：基本支出增加14.42万元，主要为人员变动调整人员经费；项目支出减少39.93万元，主要减少为</w:t>
      </w:r>
      <w:r>
        <w:rPr>
          <w:rFonts w:hint="eastAsia" w:ascii="仿宋" w:hAnsi="仿宋" w:eastAsia="仿宋" w:cs="仿宋"/>
          <w:sz w:val="32"/>
          <w:szCs w:val="32"/>
        </w:rPr>
        <w:t>服务群众专项</w:t>
      </w:r>
      <w:r>
        <w:rPr>
          <w:rFonts w:hint="eastAsia" w:ascii="仿宋" w:hAnsi="仿宋" w:eastAsia="仿宋" w:cs="仿宋"/>
          <w:sz w:val="32"/>
          <w:szCs w:val="32"/>
          <w:lang w:eastAsia="zh-CN"/>
        </w:rPr>
        <w:t>（党报党刊征订费用）</w:t>
      </w:r>
      <w:r>
        <w:rPr>
          <w:rFonts w:hint="eastAsia" w:ascii="仿宋" w:hAnsi="仿宋" w:eastAsia="仿宋" w:cs="仿宋"/>
          <w:bCs/>
          <w:sz w:val="32"/>
          <w:szCs w:val="32"/>
          <w:highlight w:val="none"/>
          <w:lang w:val="en-US" w:eastAsia="zh-CN"/>
        </w:rPr>
        <w:t>、环保网格员工资等。</w:t>
      </w:r>
    </w:p>
    <w:p w14:paraId="4C6D4A52">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668222E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本部门从以下几个指标进行了情况分析：</w:t>
      </w:r>
    </w:p>
    <w:p w14:paraId="46DD709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1、产出指标：数量指标；质量指标；时效指标；成本指标。</w:t>
      </w:r>
    </w:p>
    <w:p w14:paraId="52EA6E0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2、效益指标：经济效益；社会效益；生态效益；可持续影响。</w:t>
      </w:r>
    </w:p>
    <w:p w14:paraId="6168DC9E">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3、满意度指标：服务对象满意度。</w:t>
      </w:r>
    </w:p>
    <w:p w14:paraId="596B39A1">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2EFB97C6">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56D8F17C">
      <w:pPr>
        <w:tabs>
          <w:tab w:val="left" w:pos="709"/>
        </w:tabs>
        <w:ind w:firstLine="640" w:firstLineChars="200"/>
        <w:rPr>
          <w:rFonts w:hint="eastAsia" w:ascii="仿宋" w:hAnsi="仿宋" w:eastAsia="仿宋"/>
          <w:sz w:val="32"/>
          <w:szCs w:val="32"/>
          <w:lang w:val="en-US" w:eastAsia="zh-CN"/>
        </w:rPr>
      </w:pPr>
      <w:r>
        <w:rPr>
          <w:rFonts w:hint="eastAsia" w:ascii="仿宋" w:hAnsi="仿宋" w:eastAsia="仿宋" w:cs="仿宋"/>
          <w:sz w:val="32"/>
          <w:szCs w:val="32"/>
        </w:rPr>
        <w:t>根据赵县县委办公室、赵县人民政府办公室印发《贯彻落实市委、市政府</w:t>
      </w:r>
      <w:r>
        <w:rPr>
          <w:rFonts w:ascii="仿宋" w:hAnsi="仿宋" w:eastAsia="仿宋" w:cs="仿宋"/>
          <w:sz w:val="32"/>
          <w:szCs w:val="32"/>
        </w:rPr>
        <w:t>&lt;</w:t>
      </w:r>
      <w:r>
        <w:rPr>
          <w:rFonts w:hint="eastAsia" w:ascii="仿宋" w:hAnsi="仿宋" w:eastAsia="仿宋" w:cs="仿宋"/>
          <w:sz w:val="32"/>
          <w:szCs w:val="32"/>
        </w:rPr>
        <w:t>关于全面落实预算绩效管理的实施意见</w:t>
      </w:r>
      <w:r>
        <w:rPr>
          <w:rFonts w:ascii="仿宋" w:hAnsi="仿宋" w:eastAsia="仿宋" w:cs="仿宋"/>
          <w:sz w:val="32"/>
          <w:szCs w:val="32"/>
        </w:rPr>
        <w:t>&gt;</w:t>
      </w:r>
      <w:r>
        <w:rPr>
          <w:rFonts w:hint="eastAsia" w:ascii="仿宋" w:hAnsi="仿宋" w:eastAsia="仿宋" w:cs="仿宋"/>
          <w:sz w:val="32"/>
          <w:szCs w:val="32"/>
        </w:rPr>
        <w:t>重点任务分工方案》的通知的精神</w:t>
      </w:r>
      <w:r>
        <w:rPr>
          <w:rFonts w:ascii="仿宋" w:hAnsi="仿宋" w:eastAsia="仿宋" w:cs="仿宋"/>
          <w:sz w:val="32"/>
          <w:szCs w:val="32"/>
        </w:rPr>
        <w:t>,</w:t>
      </w:r>
      <w:r>
        <w:rPr>
          <w:rFonts w:hint="eastAsia" w:ascii="仿宋" w:hAnsi="仿宋" w:eastAsia="仿宋" w:cs="仿宋"/>
          <w:sz w:val="32"/>
          <w:szCs w:val="32"/>
        </w:rPr>
        <w:t>我单位组织领导并成立绩效评估小组对</w:t>
      </w:r>
      <w:r>
        <w:rPr>
          <w:rFonts w:ascii="仿宋" w:hAnsi="仿宋" w:eastAsia="仿宋" w:cs="仿宋"/>
          <w:sz w:val="32"/>
          <w:szCs w:val="32"/>
        </w:rPr>
        <w:t>20</w:t>
      </w:r>
      <w:r>
        <w:rPr>
          <w:rFonts w:hint="eastAsia" w:ascii="仿宋" w:hAnsi="仿宋" w:eastAsia="仿宋" w:cs="仿宋"/>
          <w:sz w:val="32"/>
          <w:szCs w:val="32"/>
        </w:rPr>
        <w:t>2</w:t>
      </w:r>
      <w:r>
        <w:rPr>
          <w:rFonts w:hint="eastAsia" w:ascii="仿宋" w:hAnsi="仿宋" w:eastAsia="仿宋" w:cs="仿宋"/>
          <w:sz w:val="32"/>
          <w:szCs w:val="32"/>
          <w:lang w:val="en-US" w:eastAsia="zh-CN"/>
        </w:rPr>
        <w:t>5</w:t>
      </w:r>
      <w:r>
        <w:rPr>
          <w:rFonts w:hint="eastAsia" w:ascii="仿宋" w:hAnsi="仿宋" w:eastAsia="仿宋" w:cs="仿宋"/>
          <w:sz w:val="32"/>
          <w:szCs w:val="32"/>
        </w:rPr>
        <w:t>年所涉及项目进行了绩效自评。</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eastAsia="zh-CN"/>
        </w:rPr>
        <w:t>我乡预算项目安排资金</w:t>
      </w:r>
      <w:r>
        <w:rPr>
          <w:rFonts w:hint="eastAsia" w:ascii="仿宋" w:hAnsi="仿宋" w:eastAsia="仿宋"/>
          <w:sz w:val="32"/>
          <w:szCs w:val="32"/>
          <w:lang w:val="en-US" w:eastAsia="zh-CN"/>
        </w:rPr>
        <w:t>255.86万元，预算支出255.86万元。总体完成率100%。</w:t>
      </w:r>
    </w:p>
    <w:p w14:paraId="5BD09DB2">
      <w:pPr>
        <w:tabs>
          <w:tab w:val="left" w:pos="709"/>
        </w:tabs>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其中:服务群众专项（党报党刊征订费用）11.16万元；公益项目绿化占地补偿143.15万元；补助经费（乡村人居环境整治）9.99万元；武装工作专项经费2.25万元；人大代表活动经费1.69万元；乡村振兴（人居环境改善提升）19.99；基础设施提升资金45万元；型煤炉具补贴资金（多康）22.63万元。</w:t>
      </w:r>
    </w:p>
    <w:p w14:paraId="02B170F3">
      <w:pPr>
        <w:numPr>
          <w:ilvl w:val="0"/>
          <w:numId w:val="4"/>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3304F7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根据财政厅的要求及前大章乡人民政府履职活动项目特点，对绩效评价指标体系划分为投入、过程、产出与效益3个一级指标。从前大章乡人民政府履职活动实施时间与计划时间的执行的差异情况、项目绩效目标的合理性、绩效指标明确性、绩效指标完成率、项目立项规范性，项目资金到位率、资金到位及时率、资金使用率、项目成本控制率，业务管理制度和财务管理制度的健全性、制度执行的有效性、项目质量的可控性、资金使用合规安全性、固定资产管理情况及固定资产利用率，会计信息管理的规范完整性，同时结合前大章乡人民政府履职活动项目的特点构成完整的绩效评价指标体系。</w:t>
      </w:r>
    </w:p>
    <w:p w14:paraId="4BA4B7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cstheme="minorBidi"/>
          <w:kern w:val="2"/>
          <w:sz w:val="32"/>
          <w:szCs w:val="32"/>
          <w:lang w:val="en-US" w:eastAsia="zh-CN" w:bidi="ar-SA"/>
        </w:rPr>
        <w:t>健全各项管理制度，并制定相应的支出管理办法、前大章乡政府机关各项工作规定相关管理制度，且制度合法、合规、完整，同时制度也得到有效地执行，遵守相关法律法规和业务管理规定；为确保工作计划推进，在具体项目责任分解中对应相关科室和责任人，明确目标、落实责任。项目实施过程中制定了相应的项目质量要求和标准，并积极采取了必需的控制措施，保质保量完成工作计划。</w:t>
      </w:r>
    </w:p>
    <w:p w14:paraId="4B02C31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前大章乡人民政府充分发挥政府职能作用，履职活动期间各项工作按计划保质保量完成，2025年认真落实全面从严治党责任，深化党风廉政建设和作风整顿，重新修订多项制度，积极抓好事务、做好服务，以促进赵县经济和社会事业全面发展，达到项目预期目标。</w:t>
      </w:r>
    </w:p>
    <w:p w14:paraId="6F0B6E88">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7E42967D">
      <w:pPr>
        <w:numPr>
          <w:ilvl w:val="0"/>
          <w:numId w:val="5"/>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1EC172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总体绩效目标：坚持以习近平新时代中国特色社会主义思想为指导，</w:t>
      </w:r>
      <w:r>
        <w:rPr>
          <w:rFonts w:hint="eastAsia" w:ascii="仿宋" w:hAnsi="仿宋" w:eastAsia="仿宋" w:cstheme="minorBidi"/>
          <w:kern w:val="2"/>
          <w:sz w:val="32"/>
          <w:szCs w:val="32"/>
          <w:lang w:val="en-US" w:eastAsia="zh-CN" w:bidi="ar-SA"/>
        </w:rPr>
        <w:t>全面贯彻党的二十大精神</w:t>
      </w:r>
      <w:r>
        <w:rPr>
          <w:rFonts w:hint="eastAsia" w:ascii="仿宋" w:hAnsi="仿宋" w:eastAsia="仿宋" w:cstheme="minorBidi"/>
          <w:kern w:val="2"/>
          <w:sz w:val="32"/>
          <w:szCs w:val="32"/>
          <w:lang w:val="en-US" w:eastAsia="uk-UA" w:bidi="ar-SA"/>
        </w:rPr>
        <w:t>，坚决贯彻的党的基本理论、基本路线、基本方略，全面落实习近平总书记对河北工作重要指示批示和党中央决策部署。严格依法行政，充分发挥经济管理职能，加强政策引导，制定发展规划，服务市场主体和营造发展环境，搞好市场监管，大力促进社会事业发展，发展</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村经济、文化和社会事业，提供公共服务，维护社会稳定，构建新时代社会主义和谐社会，推进社会进步，实现共同富裕。</w:t>
      </w:r>
    </w:p>
    <w:p w14:paraId="0E128D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1、抓好农业调整，进一步增加农民收入。</w:t>
      </w:r>
    </w:p>
    <w:p w14:paraId="7234A2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2、抓好项目建设，进一步壮大集体经济和民营经济规模。</w:t>
      </w:r>
    </w:p>
    <w:p w14:paraId="272945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3、维护社会稳定，进一步推进平安建设体系。</w:t>
      </w:r>
    </w:p>
    <w:p w14:paraId="1EFDCE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4、抓好资金投入力度，进一步加大基础设施建设。</w:t>
      </w:r>
    </w:p>
    <w:p w14:paraId="2F3F1E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5、抓好党风廉政作风建设，进一步提高各项工作效率。</w:t>
      </w:r>
    </w:p>
    <w:p w14:paraId="5163C7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6、扎实稳妥做好“农村两委”班子换届工作，巩固农村阵地建设。</w:t>
      </w:r>
    </w:p>
    <w:p w14:paraId="6942BA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楷体_GB2312"/>
          <w:b/>
          <w:bCs/>
          <w:sz w:val="32"/>
          <w:szCs w:val="32"/>
        </w:rPr>
      </w:pPr>
      <w:r>
        <w:rPr>
          <w:rFonts w:hint="eastAsia" w:ascii="仿宋" w:hAnsi="仿宋" w:eastAsia="仿宋" w:cstheme="minorBidi"/>
          <w:kern w:val="2"/>
          <w:sz w:val="32"/>
          <w:szCs w:val="32"/>
          <w:lang w:val="en-US" w:eastAsia="uk-UA" w:bidi="ar-SA"/>
        </w:rPr>
        <w:t>7、进一步做好农村环境整治和大气污染防治工作。</w:t>
      </w:r>
      <w:r>
        <w:rPr>
          <w:rFonts w:hint="eastAsia" w:ascii="仿宋" w:hAnsi="仿宋" w:eastAsia="仿宋" w:cs="楷体_GB2312"/>
          <w:b/>
          <w:bCs/>
          <w:sz w:val="32"/>
          <w:szCs w:val="32"/>
        </w:rPr>
        <w:t xml:space="preserve">   </w:t>
      </w:r>
    </w:p>
    <w:p w14:paraId="296CB59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3B9AADA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1、促进经济发展：制定本</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发展规划，发展特色种植（生姜、中药材），进一步加快农业产业强</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建设工作，形成多主体参与、多模式创新的农业产业强</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建设格局，助推乡村产业振兴，做好农业技术和良种的推广。</w:t>
      </w:r>
    </w:p>
    <w:p w14:paraId="2D69D8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2、加强社会管理工作：完成</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村财务监督管理、做好统计、计生卫生健康工作、完成民主政治建设，实现公民选举、决策，完成征兵和民兵建设工作，做好环境保护工作。</w:t>
      </w:r>
    </w:p>
    <w:p w14:paraId="623F538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3、提供公共服务：依靠上级财政优惠政策，完成</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村道路基础设施和其他公共设施建设和养护工作。配合教育部门做好九年义务教育工作；做好群众文化、体育健身运动。做好民政残联救助服务和精准扶贫脱贫及低保服务工作。做好农村劳动力的职业技能培训工作。完成食品和药品的安全监管工作。</w:t>
      </w:r>
    </w:p>
    <w:p w14:paraId="2D76061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4、维护农村稳定：办理群众来信、来电、来访、网上信访，处理好群众进京进省上访工作，制定突发事件工作方案和应急预案，做好重大突发事件的应急处理工作。</w:t>
      </w:r>
    </w:p>
    <w:p w14:paraId="20B8D3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5、继续做好“气代煤”的后续善后完善工作。</w:t>
      </w:r>
    </w:p>
    <w:p w14:paraId="0606A4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6、继续大力做好全年大气污染治理工作，继续对“散乱污”企业保持高压态势，力求我</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的生态环境有较大改观。</w:t>
      </w:r>
    </w:p>
    <w:p w14:paraId="18A1FF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7、继续做好</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域主次干道提升工作，对各子道进行拓宽提升，对果王线、新南路进行绿化美化和拓宽升级。</w:t>
      </w:r>
    </w:p>
    <w:p w14:paraId="456F4E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8、继续推进农田林网的绿化工作，对大吕村、小吕村等九个村的农田道路进行绿化美化。</w:t>
      </w:r>
    </w:p>
    <w:p w14:paraId="61711F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9、继续加强对</w:t>
      </w:r>
      <w:r>
        <w:rPr>
          <w:rFonts w:hint="eastAsia" w:ascii="仿宋" w:hAnsi="仿宋" w:eastAsia="仿宋" w:cstheme="minorBidi"/>
          <w:kern w:val="2"/>
          <w:sz w:val="32"/>
          <w:szCs w:val="32"/>
          <w:lang w:val="en-US" w:eastAsia="zh-CN" w:bidi="ar-SA"/>
        </w:rPr>
        <w:t>乡</w:t>
      </w:r>
      <w:r>
        <w:rPr>
          <w:rFonts w:hint="eastAsia" w:ascii="仿宋" w:hAnsi="仿宋" w:eastAsia="仿宋" w:cstheme="minorBidi"/>
          <w:kern w:val="2"/>
          <w:sz w:val="32"/>
          <w:szCs w:val="32"/>
          <w:lang w:val="en-US" w:eastAsia="uk-UA" w:bidi="ar-SA"/>
        </w:rPr>
        <w:t>域农村环境进行综合治理工作，使广大群众的生活环境有较大改观，身体更加健康，生活更加富裕。</w:t>
      </w:r>
    </w:p>
    <w:p w14:paraId="2E25166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uk-UA" w:bidi="ar-SA"/>
        </w:rPr>
      </w:pPr>
      <w:r>
        <w:rPr>
          <w:rFonts w:hint="eastAsia" w:ascii="仿宋" w:hAnsi="仿宋" w:eastAsia="仿宋" w:cstheme="minorBidi"/>
          <w:kern w:val="2"/>
          <w:sz w:val="32"/>
          <w:szCs w:val="32"/>
          <w:lang w:val="en-US" w:eastAsia="uk-UA" w:bidi="ar-SA"/>
        </w:rPr>
        <w:t>10、及时做好道路绿化占地补偿兑付工作，使广大百姓能够充分享受国家的优惠政策。</w:t>
      </w:r>
    </w:p>
    <w:p w14:paraId="796C0307">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5C89A0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针对预算项目实际情况，通过座谈调研、查阅项目管理制度、财务管理制度等内业资料的形式，采用比较分析法，辅以公众评判法对本项目专项资金使用情况进行绩效评价。经评价总体得分95.5分，得出综合绩效评价等级为优秀。</w:t>
      </w:r>
    </w:p>
    <w:p w14:paraId="1818170A">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0A5DD792">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0D8731F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rPr>
        <w:t>1</w:t>
      </w:r>
      <w:r>
        <w:rPr>
          <w:rFonts w:hint="eastAsia" w:ascii="仿宋" w:hAnsi="仿宋" w:eastAsia="仿宋" w:cs="仿宋"/>
          <w:kern w:val="2"/>
          <w:sz w:val="32"/>
          <w:szCs w:val="32"/>
          <w:lang w:val="en-US" w:eastAsia="zh-CN" w:bidi="ar-SA"/>
        </w:rPr>
        <w:t>、因业务水平有限，年初预算的编制支出类别上理解不够，比如基本支出和项目支出，在日常业务操作时容易出错。</w:t>
      </w:r>
    </w:p>
    <w:p w14:paraId="5E66A32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2、预决算项目支出编制需进一步明确、精细化。同时项目执行率需进一步提高。</w:t>
      </w:r>
    </w:p>
    <w:p w14:paraId="4391A5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bCs/>
          <w:sz w:val="32"/>
          <w:szCs w:val="32"/>
        </w:rPr>
      </w:pPr>
      <w:r>
        <w:rPr>
          <w:rFonts w:hint="eastAsia" w:ascii="仿宋" w:hAnsi="仿宋" w:eastAsia="仿宋" w:cs="仿宋"/>
          <w:kern w:val="2"/>
          <w:sz w:val="32"/>
          <w:szCs w:val="32"/>
          <w:lang w:val="en-US" w:eastAsia="zh-CN" w:bidi="ar-SA"/>
        </w:rPr>
        <w:t>3、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p>
    <w:p w14:paraId="77EE1CCB">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（二）针对问题提出具体的改进措施或建议</w:t>
      </w:r>
    </w:p>
    <w:p w14:paraId="5FE4397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rPr>
        <w:t>1</w:t>
      </w:r>
      <w:r>
        <w:rPr>
          <w:rFonts w:hint="eastAsia" w:ascii="仿宋" w:hAnsi="仿宋" w:eastAsia="仿宋" w:cs="仿宋"/>
          <w:kern w:val="2"/>
          <w:sz w:val="32"/>
          <w:szCs w:val="32"/>
          <w:lang w:val="en-US" w:eastAsia="zh-CN" w:bidi="ar-SA"/>
        </w:rPr>
        <w:t>、细化预算编制工作，进一步加强内设机构的预算管理意识，严格按照预算编制的相关制度和要求进行预算编制。</w:t>
      </w:r>
    </w:p>
    <w:p w14:paraId="40BEA9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47BEF11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bCs/>
          <w:sz w:val="32"/>
          <w:szCs w:val="32"/>
        </w:rPr>
      </w:pPr>
      <w:r>
        <w:rPr>
          <w:rFonts w:hint="eastAsia" w:ascii="仿宋" w:hAnsi="仿宋" w:eastAsia="仿宋" w:cs="仿宋"/>
          <w:kern w:val="2"/>
          <w:sz w:val="32"/>
          <w:szCs w:val="32"/>
          <w:lang w:val="en-US" w:eastAsia="zh-CN" w:bidi="ar-SA"/>
        </w:rPr>
        <w:t>3、合理安排会计岗位，适当增加会计人员，增加业务知识培训，加强决算工作与账务处理工作衔接。</w:t>
      </w:r>
    </w:p>
    <w:p w14:paraId="48CB44F7">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六、评价工作组人员名单及签字（姓名、工作单位）</w:t>
      </w:r>
    </w:p>
    <w:p w14:paraId="7DB9A194">
      <w:pPr>
        <w:ind w:firstLine="960" w:firstLineChars="300"/>
        <w:rPr>
          <w:rFonts w:hint="eastAsia" w:ascii="仿宋" w:hAnsi="仿宋" w:eastAsia="仿宋" w:cs="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cs="仿宋"/>
          <w:sz w:val="32"/>
          <w:szCs w:val="32"/>
        </w:rPr>
        <w:t>领导小组组长：</w:t>
      </w:r>
      <w:r>
        <w:rPr>
          <w:rFonts w:hint="eastAsia" w:ascii="仿宋" w:hAnsi="仿宋" w:eastAsia="仿宋" w:cs="仿宋"/>
          <w:sz w:val="32"/>
          <w:szCs w:val="32"/>
          <w:lang w:eastAsia="zh-CN"/>
        </w:rPr>
        <w:t>王子晨（乡</w:t>
      </w:r>
      <w:r>
        <w:rPr>
          <w:rFonts w:hint="eastAsia" w:ascii="仿宋" w:hAnsi="仿宋" w:eastAsia="仿宋" w:cs="仿宋"/>
          <w:sz w:val="32"/>
          <w:szCs w:val="32"/>
        </w:rPr>
        <w:t>长</w:t>
      </w:r>
      <w:r>
        <w:rPr>
          <w:rFonts w:hint="eastAsia" w:ascii="仿宋" w:hAnsi="仿宋" w:eastAsia="仿宋" w:cs="仿宋"/>
          <w:sz w:val="32"/>
          <w:szCs w:val="32"/>
          <w:lang w:eastAsia="zh-CN"/>
        </w:rPr>
        <w:t>）</w:t>
      </w:r>
    </w:p>
    <w:p w14:paraId="475FA39E">
      <w:pPr>
        <w:ind w:firstLine="1280" w:firstLineChars="400"/>
        <w:rPr>
          <w:rFonts w:ascii="仿宋" w:hAnsi="仿宋" w:eastAsia="仿宋" w:cs="仿宋"/>
          <w:sz w:val="32"/>
          <w:szCs w:val="32"/>
        </w:rPr>
      </w:pPr>
      <w:r>
        <w:rPr>
          <w:rFonts w:hint="eastAsia" w:ascii="仿宋" w:hAnsi="仿宋" w:eastAsia="仿宋" w:cs="仿宋"/>
          <w:sz w:val="32"/>
          <w:szCs w:val="32"/>
        </w:rPr>
        <w:t>小  组 成 员：</w:t>
      </w:r>
      <w:r>
        <w:rPr>
          <w:rFonts w:hint="eastAsia" w:ascii="仿宋" w:hAnsi="仿宋" w:eastAsia="仿宋" w:cs="仿宋"/>
          <w:sz w:val="32"/>
          <w:szCs w:val="32"/>
          <w:lang w:val="en-US" w:eastAsia="zh-CN"/>
        </w:rPr>
        <w:t>邓晓婵</w:t>
      </w:r>
      <w:r>
        <w:rPr>
          <w:rFonts w:hint="eastAsia" w:ascii="仿宋" w:hAnsi="仿宋" w:eastAsia="仿宋" w:cs="仿宋"/>
          <w:sz w:val="32"/>
          <w:szCs w:val="32"/>
        </w:rPr>
        <w:t>（纪检书记）</w:t>
      </w:r>
    </w:p>
    <w:p w14:paraId="460BA895">
      <w:pPr>
        <w:ind w:firstLine="2880" w:firstLineChars="900"/>
        <w:rPr>
          <w:rFonts w:ascii="仿宋" w:hAnsi="仿宋" w:eastAsia="仿宋" w:cs="仿宋"/>
          <w:sz w:val="32"/>
          <w:szCs w:val="32"/>
        </w:rPr>
      </w:pPr>
      <w:r>
        <w:rPr>
          <w:rFonts w:hint="eastAsia" w:ascii="仿宋" w:hAnsi="仿宋" w:eastAsia="仿宋" w:cs="仿宋"/>
          <w:sz w:val="32"/>
          <w:szCs w:val="32"/>
          <w:lang w:val="en-US" w:eastAsia="zh-CN"/>
        </w:rPr>
        <w:t xml:space="preserve">    李  梦</w:t>
      </w:r>
      <w:r>
        <w:rPr>
          <w:rFonts w:hint="eastAsia" w:ascii="仿宋" w:hAnsi="仿宋" w:eastAsia="仿宋" w:cs="仿宋"/>
          <w:sz w:val="32"/>
          <w:szCs w:val="32"/>
        </w:rPr>
        <w:t>（办公室主任）</w:t>
      </w:r>
    </w:p>
    <w:p w14:paraId="3D1C9898">
      <w:pPr>
        <w:ind w:firstLine="3520" w:firstLineChars="1100"/>
        <w:rPr>
          <w:rFonts w:ascii="仿宋" w:hAnsi="仿宋" w:eastAsia="仿宋" w:cs="仿宋"/>
          <w:sz w:val="32"/>
          <w:szCs w:val="32"/>
        </w:rPr>
      </w:pPr>
      <w:r>
        <w:rPr>
          <w:rFonts w:hint="eastAsia" w:ascii="仿宋" w:hAnsi="仿宋" w:eastAsia="仿宋" w:cs="仿宋"/>
          <w:sz w:val="32"/>
          <w:szCs w:val="32"/>
          <w:lang w:val="en-US" w:eastAsia="zh-CN"/>
        </w:rPr>
        <w:t>贺宇阳</w:t>
      </w:r>
      <w:r>
        <w:rPr>
          <w:rFonts w:hint="eastAsia" w:ascii="仿宋" w:hAnsi="仿宋" w:eastAsia="仿宋" w:cs="仿宋"/>
          <w:sz w:val="32"/>
          <w:szCs w:val="32"/>
        </w:rPr>
        <w:t>（总预算会计）</w:t>
      </w:r>
    </w:p>
    <w:p w14:paraId="5E9F44DE">
      <w:pPr>
        <w:ind w:firstLine="640" w:firstLineChars="200"/>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王晓妍</w:t>
      </w:r>
      <w:r>
        <w:rPr>
          <w:rFonts w:hint="eastAsia" w:ascii="仿宋" w:hAnsi="仿宋" w:eastAsia="仿宋" w:cs="仿宋"/>
          <w:sz w:val="32"/>
          <w:szCs w:val="32"/>
        </w:rPr>
        <w:t>（</w:t>
      </w:r>
      <w:r>
        <w:rPr>
          <w:rFonts w:hint="eastAsia" w:ascii="仿宋" w:hAnsi="仿宋" w:eastAsia="仿宋" w:cs="仿宋"/>
          <w:sz w:val="32"/>
          <w:szCs w:val="32"/>
          <w:lang w:eastAsia="zh-CN"/>
        </w:rPr>
        <w:t>单位</w:t>
      </w:r>
      <w:r>
        <w:rPr>
          <w:rFonts w:hint="eastAsia" w:ascii="仿宋" w:hAnsi="仿宋" w:eastAsia="仿宋" w:cs="仿宋"/>
          <w:sz w:val="32"/>
          <w:szCs w:val="32"/>
        </w:rPr>
        <w:t>会计）</w:t>
      </w:r>
    </w:p>
    <w:p w14:paraId="00E0F5AC">
      <w:pPr>
        <w:rPr>
          <w:rFonts w:ascii="仿宋" w:hAnsi="仿宋" w:eastAsia="仿宋"/>
          <w:bCs/>
          <w:sz w:val="32"/>
          <w:szCs w:val="32"/>
        </w:rPr>
      </w:pPr>
      <w:r>
        <w:rPr>
          <w:rFonts w:hint="eastAsia" w:ascii="仿宋" w:hAnsi="仿宋" w:eastAsia="仿宋"/>
          <w:b/>
          <w:bCs/>
          <w:sz w:val="32"/>
          <w:szCs w:val="32"/>
        </w:rPr>
        <w:t xml:space="preserve">             </w:t>
      </w:r>
    </w:p>
    <w:p w14:paraId="736DD264">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roman"/>
    <w:pitch w:val="default"/>
    <w:sig w:usb0="A00002BF" w:usb1="38CF7CFA" w:usb2="00082016" w:usb3="00000000" w:csb0="00040001" w:csb1="00000000"/>
  </w:font>
  <w:font w:name="方正书宋_GBK">
    <w:altName w:val="微软雅黑"/>
    <w:panose1 w:val="02000000000000000000"/>
    <w:charset w:val="86"/>
    <w:family w:val="roman"/>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roman"/>
    <w:pitch w:val="default"/>
    <w:sig w:usb0="00000000" w:usb1="00000000" w:usb2="00082016" w:usb3="00000000" w:csb0="00040001" w:csb1="00000000"/>
  </w:font>
  <w:font w:name="方正小标宋_GBK">
    <w:altName w:val="微软雅黑"/>
    <w:panose1 w:val="02000000000000000000"/>
    <w:charset w:val="86"/>
    <w:family w:val="roman"/>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2AA3">
    <w:pPr>
      <w:pStyle w:val="2"/>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1AF425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- 2 -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A469E3"/>
    <w:multiLevelType w:val="singleLevel"/>
    <w:tmpl w:val="E6A469E3"/>
    <w:lvl w:ilvl="0" w:tentative="0">
      <w:start w:val="1"/>
      <w:numFmt w:val="decimal"/>
      <w:suff w:val="nothing"/>
      <w:lvlText w:val="%1、"/>
      <w:lvlJc w:val="left"/>
    </w:lvl>
  </w:abstractNum>
  <w:abstractNum w:abstractNumId="1">
    <w:nsid w:val="FDBB5D43"/>
    <w:multiLevelType w:val="singleLevel"/>
    <w:tmpl w:val="FDBB5D43"/>
    <w:lvl w:ilvl="0" w:tentative="0">
      <w:start w:val="4"/>
      <w:numFmt w:val="decimal"/>
      <w:suff w:val="nothing"/>
      <w:lvlText w:val="%1、"/>
      <w:lvlJc w:val="left"/>
    </w:lvl>
  </w:abstractNum>
  <w:abstractNum w:abstractNumId="2">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3">
    <w:nsid w:val="39415E21"/>
    <w:multiLevelType w:val="singleLevel"/>
    <w:tmpl w:val="39415E21"/>
    <w:lvl w:ilvl="0" w:tentative="0">
      <w:start w:val="2"/>
      <w:numFmt w:val="chineseCounting"/>
      <w:suff w:val="nothing"/>
      <w:lvlText w:val="（%1）"/>
      <w:lvlJc w:val="left"/>
      <w:rPr>
        <w:rFonts w:hint="eastAsia"/>
      </w:rPr>
    </w:lvl>
  </w:abstractNum>
  <w:abstractNum w:abstractNumId="4">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2C1006"/>
    <w:rsid w:val="004B7F64"/>
    <w:rsid w:val="007E6C1F"/>
    <w:rsid w:val="00956A93"/>
    <w:rsid w:val="009D11C5"/>
    <w:rsid w:val="009E575C"/>
    <w:rsid w:val="00AB45AC"/>
    <w:rsid w:val="00AF167E"/>
    <w:rsid w:val="00AF566A"/>
    <w:rsid w:val="00B478EA"/>
    <w:rsid w:val="00B6553A"/>
    <w:rsid w:val="00BC6576"/>
    <w:rsid w:val="00C968D1"/>
    <w:rsid w:val="00CE06BA"/>
    <w:rsid w:val="00F441CC"/>
    <w:rsid w:val="00F75EFB"/>
    <w:rsid w:val="01A9160A"/>
    <w:rsid w:val="01B104CA"/>
    <w:rsid w:val="01B15F5F"/>
    <w:rsid w:val="02106AB0"/>
    <w:rsid w:val="02B43A28"/>
    <w:rsid w:val="02CC4B4C"/>
    <w:rsid w:val="03A24D13"/>
    <w:rsid w:val="03EF1262"/>
    <w:rsid w:val="046F331E"/>
    <w:rsid w:val="05270C2A"/>
    <w:rsid w:val="05FA2662"/>
    <w:rsid w:val="07150109"/>
    <w:rsid w:val="073002F1"/>
    <w:rsid w:val="07956271"/>
    <w:rsid w:val="09476C44"/>
    <w:rsid w:val="09721397"/>
    <w:rsid w:val="0A962EB3"/>
    <w:rsid w:val="0B523684"/>
    <w:rsid w:val="0B705143"/>
    <w:rsid w:val="0BB63BED"/>
    <w:rsid w:val="0BCF250F"/>
    <w:rsid w:val="0D764FE7"/>
    <w:rsid w:val="0D770A59"/>
    <w:rsid w:val="0E0A3EB1"/>
    <w:rsid w:val="0E184661"/>
    <w:rsid w:val="0EB97A43"/>
    <w:rsid w:val="0EBD2122"/>
    <w:rsid w:val="0F214EAE"/>
    <w:rsid w:val="10F445AD"/>
    <w:rsid w:val="10FD5694"/>
    <w:rsid w:val="11B71E6A"/>
    <w:rsid w:val="136467C6"/>
    <w:rsid w:val="13C862FB"/>
    <w:rsid w:val="13CC0021"/>
    <w:rsid w:val="13FA5BA3"/>
    <w:rsid w:val="153C2415"/>
    <w:rsid w:val="15C0060E"/>
    <w:rsid w:val="17E36ADD"/>
    <w:rsid w:val="17E72981"/>
    <w:rsid w:val="1814085E"/>
    <w:rsid w:val="18334675"/>
    <w:rsid w:val="1A656768"/>
    <w:rsid w:val="1AAF0063"/>
    <w:rsid w:val="1BE140DE"/>
    <w:rsid w:val="1C465A54"/>
    <w:rsid w:val="1D491BD5"/>
    <w:rsid w:val="1F3208B4"/>
    <w:rsid w:val="208925D3"/>
    <w:rsid w:val="20CF3B1E"/>
    <w:rsid w:val="210F7793"/>
    <w:rsid w:val="215F1770"/>
    <w:rsid w:val="21D5577F"/>
    <w:rsid w:val="23C50971"/>
    <w:rsid w:val="248C197D"/>
    <w:rsid w:val="252959AF"/>
    <w:rsid w:val="25E716FE"/>
    <w:rsid w:val="26A27F71"/>
    <w:rsid w:val="275111F8"/>
    <w:rsid w:val="277A6671"/>
    <w:rsid w:val="27997F80"/>
    <w:rsid w:val="281A529E"/>
    <w:rsid w:val="28FE7DE6"/>
    <w:rsid w:val="2911054E"/>
    <w:rsid w:val="292D35B7"/>
    <w:rsid w:val="294918D2"/>
    <w:rsid w:val="29E847E7"/>
    <w:rsid w:val="2C0B745F"/>
    <w:rsid w:val="2C3A4D79"/>
    <w:rsid w:val="2C5D4444"/>
    <w:rsid w:val="2CBC2509"/>
    <w:rsid w:val="2D3D6756"/>
    <w:rsid w:val="2D456EEC"/>
    <w:rsid w:val="2D784ED8"/>
    <w:rsid w:val="2E012BD8"/>
    <w:rsid w:val="2EC57F25"/>
    <w:rsid w:val="30C232D4"/>
    <w:rsid w:val="30FE6EC9"/>
    <w:rsid w:val="310B26F0"/>
    <w:rsid w:val="317E5689"/>
    <w:rsid w:val="31816017"/>
    <w:rsid w:val="3370371D"/>
    <w:rsid w:val="337F13C6"/>
    <w:rsid w:val="33B3614D"/>
    <w:rsid w:val="33EB6CFF"/>
    <w:rsid w:val="340F2878"/>
    <w:rsid w:val="350D5A8F"/>
    <w:rsid w:val="35A12947"/>
    <w:rsid w:val="37387040"/>
    <w:rsid w:val="379F19FB"/>
    <w:rsid w:val="37B53B50"/>
    <w:rsid w:val="381D6947"/>
    <w:rsid w:val="382117ED"/>
    <w:rsid w:val="38DB44A1"/>
    <w:rsid w:val="3A7C2BAF"/>
    <w:rsid w:val="3ADF1353"/>
    <w:rsid w:val="3B625C0A"/>
    <w:rsid w:val="3B7F7E78"/>
    <w:rsid w:val="3CEE1963"/>
    <w:rsid w:val="3E0B3CBE"/>
    <w:rsid w:val="3F43122E"/>
    <w:rsid w:val="40EB6BED"/>
    <w:rsid w:val="41945439"/>
    <w:rsid w:val="42145AF8"/>
    <w:rsid w:val="42DF267A"/>
    <w:rsid w:val="4325156F"/>
    <w:rsid w:val="436B78D3"/>
    <w:rsid w:val="43A36802"/>
    <w:rsid w:val="480653EC"/>
    <w:rsid w:val="48AD5187"/>
    <w:rsid w:val="49567DF5"/>
    <w:rsid w:val="4B5A6A76"/>
    <w:rsid w:val="4C876009"/>
    <w:rsid w:val="4C9C27FE"/>
    <w:rsid w:val="4D5E3931"/>
    <w:rsid w:val="4F2F6A16"/>
    <w:rsid w:val="511107C7"/>
    <w:rsid w:val="512260B4"/>
    <w:rsid w:val="51A97826"/>
    <w:rsid w:val="51AC05E4"/>
    <w:rsid w:val="52BD6ACB"/>
    <w:rsid w:val="52C146C7"/>
    <w:rsid w:val="52E023C1"/>
    <w:rsid w:val="55537534"/>
    <w:rsid w:val="55F33384"/>
    <w:rsid w:val="561A74F1"/>
    <w:rsid w:val="56737A08"/>
    <w:rsid w:val="56BA3B0B"/>
    <w:rsid w:val="573D142B"/>
    <w:rsid w:val="5830307A"/>
    <w:rsid w:val="596F0CAB"/>
    <w:rsid w:val="597244E8"/>
    <w:rsid w:val="59B91AF3"/>
    <w:rsid w:val="59EA4068"/>
    <w:rsid w:val="5A593487"/>
    <w:rsid w:val="5BC52E6A"/>
    <w:rsid w:val="5CB908FD"/>
    <w:rsid w:val="5D236109"/>
    <w:rsid w:val="5DDA09C3"/>
    <w:rsid w:val="5EB71C30"/>
    <w:rsid w:val="602779F3"/>
    <w:rsid w:val="60A00A3E"/>
    <w:rsid w:val="61EB1C73"/>
    <w:rsid w:val="61FD12CD"/>
    <w:rsid w:val="621609D6"/>
    <w:rsid w:val="621C5BFA"/>
    <w:rsid w:val="63016BE9"/>
    <w:rsid w:val="63E87687"/>
    <w:rsid w:val="64AC0312"/>
    <w:rsid w:val="659E738C"/>
    <w:rsid w:val="665F6576"/>
    <w:rsid w:val="66A937A9"/>
    <w:rsid w:val="66AF0CE5"/>
    <w:rsid w:val="66F52077"/>
    <w:rsid w:val="670858B2"/>
    <w:rsid w:val="675B5A28"/>
    <w:rsid w:val="677B5479"/>
    <w:rsid w:val="6A625CFC"/>
    <w:rsid w:val="6AC537CF"/>
    <w:rsid w:val="6AE14DC5"/>
    <w:rsid w:val="6B4B792F"/>
    <w:rsid w:val="6C365E20"/>
    <w:rsid w:val="6C6F7B8D"/>
    <w:rsid w:val="6E5B14A6"/>
    <w:rsid w:val="70BA2792"/>
    <w:rsid w:val="71022AFB"/>
    <w:rsid w:val="711B255E"/>
    <w:rsid w:val="71B23DEA"/>
    <w:rsid w:val="73150AB4"/>
    <w:rsid w:val="733F1294"/>
    <w:rsid w:val="738E7D8C"/>
    <w:rsid w:val="74183467"/>
    <w:rsid w:val="75235D88"/>
    <w:rsid w:val="755C67EB"/>
    <w:rsid w:val="761B2FB2"/>
    <w:rsid w:val="77141247"/>
    <w:rsid w:val="77884BD9"/>
    <w:rsid w:val="7875694B"/>
    <w:rsid w:val="7924001F"/>
    <w:rsid w:val="7BB51E06"/>
    <w:rsid w:val="7C264B2F"/>
    <w:rsid w:val="7C387F7C"/>
    <w:rsid w:val="7D006EFF"/>
    <w:rsid w:val="7D24606D"/>
    <w:rsid w:val="7DA30601"/>
    <w:rsid w:val="7DB64EBE"/>
    <w:rsid w:val="7DE44F7D"/>
    <w:rsid w:val="7F3C0271"/>
    <w:rsid w:val="7F465CDA"/>
    <w:rsid w:val="7FD03929"/>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footnote text"/>
    <w:basedOn w:val="1"/>
    <w:qFormat/>
    <w:uiPriority w:val="0"/>
    <w:rPr>
      <w:rFonts w:ascii="Calibri" w:hAnsi="Calibri"/>
      <w:kern w:val="2"/>
    </w:rPr>
  </w:style>
  <w:style w:type="paragraph" w:customStyle="1" w:styleId="7">
    <w:name w:val="插入文本样式-插入单位职责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8">
    <w:name w:val="单元格样式1"/>
    <w:qFormat/>
    <w:uiPriority w:val="0"/>
    <w:pPr>
      <w:jc w:val="center"/>
    </w:pPr>
    <w:rPr>
      <w:rFonts w:ascii="方正书宋_GBK" w:hAnsi="方正书宋_GBK" w:eastAsia="方正书宋_GBK" w:cs="方正书宋_GBK"/>
      <w:b/>
      <w:sz w:val="21"/>
      <w:lang w:val="en-US" w:eastAsia="zh-CN" w:bidi="ar-SA"/>
    </w:rPr>
  </w:style>
  <w:style w:type="paragraph" w:customStyle="1" w:styleId="9">
    <w:name w:val="单元格样式2"/>
    <w:qFormat/>
    <w:uiPriority w:val="0"/>
    <w:rPr>
      <w:rFonts w:ascii="方正书宋_GBK" w:hAnsi="方正书宋_GBK" w:eastAsia="方正书宋_GBK" w:cs="方正书宋_GBK"/>
      <w:sz w:val="21"/>
      <w:lang w:val="en-US" w:eastAsia="zh-CN" w:bidi="ar-SA"/>
    </w:rPr>
  </w:style>
  <w:style w:type="paragraph" w:customStyle="1" w:styleId="10">
    <w:name w:val="单元格样式3"/>
    <w:qFormat/>
    <w:uiPriority w:val="0"/>
    <w:pPr>
      <w:jc w:val="center"/>
    </w:pPr>
    <w:rPr>
      <w:rFonts w:ascii="方正书宋_GBK" w:hAnsi="方正书宋_GBK" w:eastAsia="方正书宋_GBK" w:cs="方正书宋_GBK"/>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3968</Words>
  <Characters>4134</Characters>
  <Lines>4</Lines>
  <Paragraphs>1</Paragraphs>
  <TotalTime>29</TotalTime>
  <ScaleCrop>false</ScaleCrop>
  <LinksUpToDate>false</LinksUpToDate>
  <CharactersWithSpaces>4200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13323011735</cp:lastModifiedBy>
  <cp:lastPrinted>2024-03-06T07:40:00Z</cp:lastPrinted>
  <dcterms:modified xsi:type="dcterms:W3CDTF">2026-07-09T03:36:22Z</dcterms:modified>
  <dc:title>附件3：</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96934721B1514D3FBAA28020338CE855_12</vt:lpwstr>
  </property>
  <property fmtid="{D5CDD505-2E9C-101B-9397-08002B2CF9AE}" pid="4" name="KSOTemplateDocerSaveRecord">
    <vt:lpwstr>eyJoZGlkIjoiZmJjNjAyMzc3NzExYzdkYjZlNGYxMWQxMmEyYTFjMTQiLCJ1c2VySWQiOiIxNTUwMjQwMDk2In0=</vt:lpwstr>
  </property>
</Properties>
</file>