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EBCA0B">
      <w:pPr>
        <w:adjustRightInd w:val="0"/>
        <w:snapToGrid w:val="0"/>
        <w:spacing w:line="560" w:lineRule="exact"/>
        <w:rPr>
          <w:rFonts w:ascii="黑体" w:hAnsi="黑体" w:eastAsia="黑体"/>
          <w:sz w:val="32"/>
          <w:szCs w:val="32"/>
        </w:rPr>
      </w:pPr>
      <w:r>
        <w:rPr>
          <w:rFonts w:hint="eastAsia" w:ascii="黑体" w:hAnsi="黑体" w:eastAsia="黑体"/>
          <w:sz w:val="32"/>
          <w:szCs w:val="32"/>
        </w:rPr>
        <w:t>附件4</w:t>
      </w:r>
    </w:p>
    <w:p w14:paraId="4D601AEB">
      <w:pPr>
        <w:spacing w:line="560" w:lineRule="exact"/>
        <w:jc w:val="center"/>
        <w:rPr>
          <w:rFonts w:ascii="宋体" w:hAnsi="宋体" w:cs="宋体"/>
          <w:b/>
          <w:bCs/>
          <w:sz w:val="44"/>
          <w:szCs w:val="44"/>
        </w:rPr>
      </w:pPr>
    </w:p>
    <w:p w14:paraId="0B7FB0E8">
      <w:pPr>
        <w:spacing w:line="560" w:lineRule="exact"/>
        <w:jc w:val="center"/>
        <w:rPr>
          <w:rFonts w:ascii="宋体" w:hAnsi="宋体" w:cs="宋体"/>
          <w:b/>
          <w:bCs/>
          <w:sz w:val="44"/>
          <w:szCs w:val="44"/>
        </w:rPr>
      </w:pPr>
      <w:r>
        <w:rPr>
          <w:rFonts w:hint="eastAsia" w:ascii="宋体" w:hAnsi="宋体" w:cs="宋体"/>
          <w:b/>
          <w:bCs/>
          <w:sz w:val="44"/>
          <w:szCs w:val="44"/>
          <w:lang w:eastAsia="zh-CN"/>
        </w:rPr>
        <w:t>赵县教育局</w:t>
      </w:r>
      <w:r>
        <w:rPr>
          <w:rFonts w:hint="eastAsia" w:ascii="宋体" w:hAnsi="宋体" w:cs="宋体"/>
          <w:b/>
          <w:bCs/>
          <w:sz w:val="44"/>
          <w:szCs w:val="44"/>
        </w:rPr>
        <w:t>部门</w:t>
      </w:r>
    </w:p>
    <w:p w14:paraId="1112B9EF">
      <w:pPr>
        <w:spacing w:line="560" w:lineRule="exact"/>
        <w:jc w:val="center"/>
        <w:rPr>
          <w:rFonts w:ascii="宋体" w:hAnsi="宋体" w:cs="宋体"/>
          <w:b/>
          <w:bCs/>
          <w:sz w:val="44"/>
          <w:szCs w:val="44"/>
        </w:rPr>
      </w:pPr>
      <w:r>
        <w:rPr>
          <w:rFonts w:hint="eastAsia" w:ascii="宋体" w:hAnsi="宋体" w:cs="宋体"/>
          <w:b/>
          <w:bCs/>
          <w:sz w:val="44"/>
          <w:szCs w:val="44"/>
        </w:rPr>
        <w:t>202</w:t>
      </w:r>
      <w:r>
        <w:rPr>
          <w:rFonts w:hint="eastAsia" w:ascii="宋体" w:hAnsi="宋体" w:cs="宋体"/>
          <w:b/>
          <w:bCs/>
          <w:sz w:val="44"/>
          <w:szCs w:val="44"/>
          <w:lang w:val="en-US" w:eastAsia="zh-CN"/>
        </w:rPr>
        <w:t>5</w:t>
      </w:r>
      <w:r>
        <w:rPr>
          <w:rFonts w:hint="eastAsia" w:ascii="宋体" w:hAnsi="宋体" w:cs="宋体"/>
          <w:b/>
          <w:bCs/>
          <w:sz w:val="44"/>
          <w:szCs w:val="44"/>
        </w:rPr>
        <w:t>年度整体支出绩效自评报告</w:t>
      </w:r>
    </w:p>
    <w:p w14:paraId="4EAA87CF">
      <w:pPr>
        <w:spacing w:line="560" w:lineRule="exact"/>
        <w:jc w:val="center"/>
        <w:rPr>
          <w:rFonts w:ascii="华文楷体" w:eastAsia="华文楷体"/>
          <w:sz w:val="32"/>
          <w:szCs w:val="32"/>
        </w:rPr>
      </w:pPr>
    </w:p>
    <w:p w14:paraId="4E819FFB">
      <w:pPr>
        <w:adjustRightInd w:val="0"/>
        <w:snapToGrid w:val="0"/>
        <w:spacing w:line="560" w:lineRule="exact"/>
        <w:ind w:firstLine="640" w:firstLineChars="200"/>
        <w:rPr>
          <w:rFonts w:ascii="仿宋" w:hAnsi="仿宋" w:eastAsia="仿宋"/>
          <w:sz w:val="32"/>
          <w:szCs w:val="32"/>
        </w:rPr>
      </w:pPr>
      <w:r>
        <w:rPr>
          <w:rFonts w:hint="eastAsia" w:ascii="仿宋" w:hAnsi="仿宋" w:eastAsia="仿宋"/>
          <w:sz w:val="32"/>
          <w:szCs w:val="32"/>
        </w:rPr>
        <w:t>贯彻落实县委、</w:t>
      </w:r>
      <w:r>
        <w:rPr>
          <w:rFonts w:hint="eastAsia" w:ascii="仿宋" w:hAnsi="仿宋" w:eastAsia="仿宋"/>
          <w:sz w:val="32"/>
          <w:szCs w:val="32"/>
          <w:lang w:eastAsia="zh-CN"/>
        </w:rPr>
        <w:t>县</w:t>
      </w:r>
      <w:r>
        <w:rPr>
          <w:rFonts w:hint="eastAsia" w:ascii="仿宋" w:hAnsi="仿宋" w:eastAsia="仿宋"/>
          <w:sz w:val="32"/>
          <w:szCs w:val="32"/>
        </w:rPr>
        <w:t>政府《全面落实预算绩效管理的实施意见》（[2019]77）文件精神，遵循“科学性、规范性、客观性和公正性”的原则，对</w:t>
      </w:r>
      <w:r>
        <w:rPr>
          <w:rFonts w:hint="eastAsia" w:ascii="仿宋" w:hAnsi="仿宋" w:eastAsia="仿宋"/>
          <w:sz w:val="32"/>
          <w:szCs w:val="32"/>
          <w:lang w:eastAsia="zh-CN"/>
        </w:rPr>
        <w:t>赵县教育局</w:t>
      </w:r>
      <w:r>
        <w:rPr>
          <w:rFonts w:hint="eastAsia" w:ascii="仿宋" w:hAnsi="仿宋" w:eastAsia="仿宋"/>
          <w:sz w:val="32"/>
          <w:szCs w:val="32"/>
        </w:rPr>
        <w:t>部门202</w:t>
      </w:r>
      <w:r>
        <w:rPr>
          <w:rFonts w:hint="eastAsia" w:ascii="仿宋" w:hAnsi="仿宋" w:eastAsia="仿宋"/>
          <w:sz w:val="32"/>
          <w:szCs w:val="32"/>
          <w:lang w:val="en-US" w:eastAsia="zh-CN"/>
        </w:rPr>
        <w:t>5</w:t>
      </w:r>
      <w:r>
        <w:rPr>
          <w:rFonts w:hint="eastAsia" w:ascii="仿宋" w:hAnsi="仿宋" w:eastAsia="仿宋"/>
          <w:sz w:val="32"/>
          <w:szCs w:val="32"/>
        </w:rPr>
        <w:t>年整体支出情况实施了财政支出绩效自评价，形成本评价报告。</w:t>
      </w:r>
    </w:p>
    <w:p w14:paraId="013BAF6E">
      <w:pPr>
        <w:adjustRightInd w:val="0"/>
        <w:snapToGrid w:val="0"/>
        <w:spacing w:line="560" w:lineRule="exact"/>
        <w:rPr>
          <w:rFonts w:ascii="黑体" w:hAnsi="黑体" w:eastAsia="黑体"/>
          <w:b/>
          <w:bCs/>
          <w:sz w:val="32"/>
          <w:szCs w:val="36"/>
        </w:rPr>
      </w:pPr>
      <w:r>
        <w:rPr>
          <w:rFonts w:hint="eastAsia" w:ascii="黑体" w:hAnsi="黑体" w:eastAsia="黑体"/>
          <w:sz w:val="32"/>
          <w:szCs w:val="32"/>
        </w:rPr>
        <w:t xml:space="preserve">     一、部门</w:t>
      </w:r>
      <w:r>
        <w:rPr>
          <w:rFonts w:hint="eastAsia" w:ascii="黑体" w:hAnsi="黑体" w:eastAsia="黑体"/>
          <w:sz w:val="32"/>
          <w:szCs w:val="36"/>
        </w:rPr>
        <w:t>基本情况</w:t>
      </w:r>
    </w:p>
    <w:p w14:paraId="3E78E05A">
      <w:pPr>
        <w:adjustRightInd w:val="0"/>
        <w:snapToGrid w:val="0"/>
        <w:spacing w:line="560" w:lineRule="exact"/>
        <w:ind w:firstLine="640" w:firstLineChars="200"/>
        <w:rPr>
          <w:rFonts w:ascii="楷体" w:hAnsi="楷体" w:eastAsia="楷体" w:cs="楷体_GB2312"/>
          <w:bCs/>
          <w:sz w:val="32"/>
          <w:szCs w:val="32"/>
        </w:rPr>
      </w:pPr>
      <w:r>
        <w:rPr>
          <w:rFonts w:hint="eastAsia" w:ascii="楷体" w:hAnsi="楷体" w:eastAsia="楷体" w:cs="楷体_GB2312"/>
          <w:bCs/>
          <w:sz w:val="32"/>
          <w:szCs w:val="32"/>
        </w:rPr>
        <w:t>（一）部门概况</w:t>
      </w:r>
    </w:p>
    <w:p w14:paraId="5836D120">
      <w:pPr>
        <w:adjustRightInd w:val="0"/>
        <w:snapToGrid w:val="0"/>
        <w:spacing w:line="560" w:lineRule="exact"/>
        <w:ind w:firstLine="640" w:firstLineChars="200"/>
        <w:rPr>
          <w:rFonts w:ascii="仿宋" w:hAnsi="仿宋" w:eastAsia="仿宋"/>
          <w:sz w:val="32"/>
          <w:szCs w:val="32"/>
        </w:rPr>
      </w:pPr>
      <w:r>
        <w:rPr>
          <w:rFonts w:hint="eastAsia" w:ascii="仿宋" w:hAnsi="仿宋" w:eastAsia="仿宋" w:cs="仿宋"/>
          <w:kern w:val="2"/>
          <w:sz w:val="32"/>
          <w:szCs w:val="32"/>
          <w:lang w:val="en-US" w:eastAsia="zh-CN" w:bidi="ar-SA"/>
        </w:rPr>
        <w:t>赵县教育局（简称县教育局）为县政府工作部门。机构规格正科级。中共赵县县委教育工作委员会（简称县委教育工委）， 作为县委派出机构,与县教育局合署办公.县委教育工委、县教育局机关行政编10名（含县委教育工作领导小组秘书组秘书科编制）。正股级职数5名（含县委教育工作领导小组秘书组秘书科科长1名。设下列内设机构:行政科室4个（办公室、人事科、教育科、教育督导室）。</w:t>
      </w:r>
    </w:p>
    <w:p w14:paraId="13504E7A">
      <w:pPr>
        <w:numPr>
          <w:ilvl w:val="0"/>
          <w:numId w:val="1"/>
        </w:numPr>
        <w:adjustRightInd w:val="0"/>
        <w:snapToGrid w:val="0"/>
        <w:spacing w:line="560" w:lineRule="exact"/>
        <w:ind w:firstLine="640" w:firstLineChars="200"/>
        <w:rPr>
          <w:rFonts w:hint="eastAsia" w:ascii="楷体" w:hAnsi="楷体" w:eastAsia="楷体" w:cs="楷体_GB2312"/>
          <w:bCs/>
          <w:sz w:val="32"/>
          <w:szCs w:val="32"/>
        </w:rPr>
      </w:pPr>
      <w:r>
        <w:rPr>
          <w:rFonts w:hint="eastAsia" w:ascii="楷体" w:hAnsi="楷体" w:eastAsia="楷体" w:cs="楷体_GB2312"/>
          <w:bCs/>
          <w:sz w:val="32"/>
          <w:szCs w:val="32"/>
        </w:rPr>
        <w:t>部门收支预决算情况</w:t>
      </w:r>
    </w:p>
    <w:p w14:paraId="30B046CC">
      <w:pPr>
        <w:keepNext w:val="0"/>
        <w:keepLines w:val="0"/>
        <w:widowControl/>
        <w:suppressLineNumbers w:val="0"/>
        <w:jc w:val="left"/>
        <w:rPr>
          <w:rFonts w:hint="default"/>
          <w:lang w:val="en-US"/>
        </w:rPr>
      </w:pPr>
      <w:r>
        <w:rPr>
          <w:rFonts w:hint="eastAsia" w:ascii="楷体" w:hAnsi="楷体" w:eastAsia="楷体" w:cs="楷体_GB2312"/>
          <w:bCs/>
          <w:sz w:val="32"/>
          <w:szCs w:val="32"/>
          <w:lang w:val="en-US" w:eastAsia="zh-CN"/>
        </w:rPr>
        <w:t xml:space="preserve">    </w:t>
      </w:r>
      <w:r>
        <w:rPr>
          <w:rFonts w:ascii="仿宋" w:hAnsi="仿宋" w:eastAsia="仿宋" w:cs="仿宋"/>
          <w:color w:val="000000"/>
          <w:kern w:val="0"/>
          <w:sz w:val="31"/>
          <w:szCs w:val="31"/>
          <w:highlight w:val="none"/>
          <w:lang w:val="en-US" w:eastAsia="zh-CN" w:bidi="ar"/>
        </w:rPr>
        <w:t>202</w:t>
      </w:r>
      <w:r>
        <w:rPr>
          <w:rFonts w:hint="eastAsia" w:ascii="仿宋" w:hAnsi="仿宋" w:eastAsia="仿宋" w:cs="仿宋"/>
          <w:color w:val="000000"/>
          <w:kern w:val="0"/>
          <w:sz w:val="31"/>
          <w:szCs w:val="31"/>
          <w:highlight w:val="none"/>
          <w:lang w:val="en-US" w:eastAsia="zh-CN" w:bidi="ar"/>
        </w:rPr>
        <w:t>5</w:t>
      </w:r>
      <w:r>
        <w:rPr>
          <w:rFonts w:ascii="仿宋" w:hAnsi="仿宋" w:eastAsia="仿宋" w:cs="仿宋"/>
          <w:color w:val="000000"/>
          <w:kern w:val="0"/>
          <w:sz w:val="31"/>
          <w:szCs w:val="31"/>
          <w:highlight w:val="none"/>
          <w:lang w:val="en-US" w:eastAsia="zh-CN" w:bidi="ar"/>
        </w:rPr>
        <w:t>年我部门</w:t>
      </w:r>
      <w:r>
        <w:rPr>
          <w:rFonts w:hint="eastAsia" w:ascii="仿宋" w:hAnsi="仿宋" w:eastAsia="仿宋" w:cs="仿宋"/>
          <w:color w:val="000000"/>
          <w:kern w:val="0"/>
          <w:sz w:val="31"/>
          <w:szCs w:val="31"/>
          <w:highlight w:val="none"/>
          <w:lang w:val="en-US" w:eastAsia="zh-CN" w:bidi="ar"/>
        </w:rPr>
        <w:t>一般公共</w:t>
      </w:r>
      <w:r>
        <w:rPr>
          <w:rFonts w:ascii="仿宋" w:hAnsi="仿宋" w:eastAsia="仿宋" w:cs="仿宋"/>
          <w:color w:val="000000"/>
          <w:kern w:val="0"/>
          <w:sz w:val="31"/>
          <w:szCs w:val="31"/>
          <w:highlight w:val="none"/>
          <w:lang w:val="en-US" w:eastAsia="zh-CN" w:bidi="ar"/>
        </w:rPr>
        <w:t>年末收入决算数</w:t>
      </w:r>
      <w:r>
        <w:rPr>
          <w:rFonts w:hint="eastAsia" w:ascii="仿宋" w:hAnsi="仿宋" w:eastAsia="仿宋" w:cs="仿宋"/>
          <w:color w:val="000000"/>
          <w:kern w:val="0"/>
          <w:sz w:val="31"/>
          <w:szCs w:val="31"/>
          <w:highlight w:val="none"/>
          <w:lang w:val="en-US" w:eastAsia="zh-CN" w:bidi="ar"/>
        </w:rPr>
        <w:t>89225万元，支出决算数89225万元。政府基金</w:t>
      </w:r>
      <w:r>
        <w:rPr>
          <w:rFonts w:ascii="仿宋" w:hAnsi="仿宋" w:eastAsia="仿宋" w:cs="仿宋"/>
          <w:color w:val="000000"/>
          <w:kern w:val="0"/>
          <w:sz w:val="31"/>
          <w:szCs w:val="31"/>
          <w:highlight w:val="none"/>
          <w:lang w:val="en-US" w:eastAsia="zh-CN" w:bidi="ar"/>
        </w:rPr>
        <w:t>收入决算数</w:t>
      </w:r>
      <w:r>
        <w:rPr>
          <w:rFonts w:hint="eastAsia" w:ascii="仿宋" w:hAnsi="仿宋" w:eastAsia="仿宋" w:cs="仿宋"/>
          <w:color w:val="000000"/>
          <w:kern w:val="0"/>
          <w:sz w:val="31"/>
          <w:szCs w:val="31"/>
          <w:highlight w:val="none"/>
          <w:lang w:val="en-US" w:eastAsia="zh-CN" w:bidi="ar"/>
        </w:rPr>
        <w:t>4702.67万元,支出决算数4702.67万元。</w:t>
      </w:r>
    </w:p>
    <w:p w14:paraId="56C16BA1">
      <w:pPr>
        <w:adjustRightInd w:val="0"/>
        <w:snapToGrid w:val="0"/>
        <w:spacing w:line="560" w:lineRule="exact"/>
        <w:ind w:firstLine="640" w:firstLineChars="200"/>
        <w:rPr>
          <w:rFonts w:ascii="楷体" w:hAnsi="楷体" w:eastAsia="楷体" w:cs="楷体_GB2312"/>
          <w:bCs/>
          <w:sz w:val="32"/>
          <w:szCs w:val="32"/>
        </w:rPr>
      </w:pPr>
      <w:r>
        <w:rPr>
          <w:rFonts w:hint="eastAsia" w:ascii="楷体" w:hAnsi="楷体" w:eastAsia="楷体" w:cs="楷体_GB2312"/>
          <w:bCs/>
          <w:sz w:val="32"/>
          <w:szCs w:val="32"/>
        </w:rPr>
        <w:t>（三）部门整体支出绩效目标、指标</w:t>
      </w:r>
    </w:p>
    <w:p w14:paraId="4E9984D9">
      <w:pPr>
        <w:adjustRightInd w:val="0"/>
        <w:snapToGrid w:val="0"/>
        <w:spacing w:line="560" w:lineRule="exact"/>
        <w:ind w:firstLine="640" w:firstLineChars="200"/>
        <w:rPr>
          <w:rFonts w:ascii="仿宋" w:hAnsi="仿宋" w:eastAsia="仿宋"/>
          <w:sz w:val="32"/>
          <w:szCs w:val="32"/>
        </w:rPr>
      </w:pPr>
      <w:r>
        <w:rPr>
          <w:rFonts w:hint="eastAsia" w:ascii="仿宋" w:hAnsi="仿宋" w:eastAsia="仿宋"/>
          <w:sz w:val="32"/>
          <w:szCs w:val="32"/>
        </w:rPr>
        <w:t>参照部门预算绩效文本中绩效目标、指标。</w:t>
      </w:r>
    </w:p>
    <w:p w14:paraId="70D0D146">
      <w:pPr>
        <w:adjustRightInd w:val="0"/>
        <w:snapToGrid w:val="0"/>
        <w:spacing w:line="560" w:lineRule="exact"/>
        <w:ind w:firstLine="640" w:firstLineChars="200"/>
        <w:rPr>
          <w:rFonts w:ascii="黑体" w:hAnsi="黑体" w:eastAsia="黑体"/>
          <w:sz w:val="32"/>
          <w:szCs w:val="32"/>
        </w:rPr>
      </w:pPr>
      <w:r>
        <w:rPr>
          <w:rFonts w:hint="eastAsia" w:ascii="黑体" w:hAnsi="黑体" w:eastAsia="黑体"/>
          <w:sz w:val="32"/>
          <w:szCs w:val="32"/>
        </w:rPr>
        <w:t>二、自评工作开展情况</w:t>
      </w:r>
    </w:p>
    <w:p w14:paraId="5153E7E8">
      <w:pPr>
        <w:spacing w:line="560" w:lineRule="exact"/>
        <w:rPr>
          <w:rFonts w:ascii="楷体" w:hAnsi="楷体" w:eastAsia="楷体" w:cs="楷体_GB2312"/>
          <w:sz w:val="32"/>
          <w:szCs w:val="32"/>
        </w:rPr>
      </w:pPr>
      <w:r>
        <w:rPr>
          <w:rFonts w:hint="eastAsia" w:ascii="仿宋" w:hAnsi="仿宋" w:eastAsia="仿宋" w:cs="楷体_GB2312"/>
          <w:b/>
          <w:bCs/>
          <w:sz w:val="32"/>
          <w:szCs w:val="32"/>
        </w:rPr>
        <w:t xml:space="preserve">    </w:t>
      </w:r>
      <w:r>
        <w:rPr>
          <w:rFonts w:hint="eastAsia" w:ascii="楷体" w:hAnsi="楷体" w:eastAsia="楷体" w:cs="楷体_GB2312"/>
          <w:bCs/>
          <w:sz w:val="32"/>
          <w:szCs w:val="32"/>
        </w:rPr>
        <w:t>（一）自评的组织工作</w:t>
      </w:r>
    </w:p>
    <w:p w14:paraId="1CA84DC1">
      <w:pPr>
        <w:spacing w:line="560" w:lineRule="exact"/>
        <w:rPr>
          <w:rFonts w:ascii="仿宋" w:hAnsi="仿宋" w:eastAsia="仿宋"/>
          <w:sz w:val="32"/>
          <w:szCs w:val="32"/>
        </w:rPr>
      </w:pPr>
      <w:r>
        <w:rPr>
          <w:rFonts w:hint="eastAsia" w:ascii="仿宋" w:hAnsi="仿宋" w:eastAsia="仿宋"/>
          <w:sz w:val="32"/>
          <w:szCs w:val="32"/>
        </w:rPr>
        <w:t xml:space="preserve">    </w:t>
      </w:r>
      <w:r>
        <w:rPr>
          <w:rFonts w:hint="eastAsia" w:ascii="仿宋_GB2312" w:hAnsi="仿宋_GB2312" w:eastAsia="仿宋_GB2312" w:cs="仿宋_GB2312"/>
          <w:sz w:val="32"/>
          <w:szCs w:val="32"/>
          <w:lang w:val="en-US" w:eastAsia="zh-CN"/>
        </w:rPr>
        <w:t>成立自评工作小组，从项目开始实施，到实施中，项目结束。评价改项目的完成情况是否达到项目预期绩效目标。</w:t>
      </w:r>
    </w:p>
    <w:p w14:paraId="3A001EA0">
      <w:pPr>
        <w:numPr>
          <w:ilvl w:val="0"/>
          <w:numId w:val="2"/>
        </w:numPr>
        <w:spacing w:line="560" w:lineRule="exact"/>
        <w:rPr>
          <w:rFonts w:ascii="楷体" w:hAnsi="楷体" w:eastAsia="楷体" w:cs="楷体_GB2312"/>
          <w:bCs/>
          <w:sz w:val="32"/>
          <w:szCs w:val="32"/>
        </w:rPr>
      </w:pPr>
      <w:r>
        <w:rPr>
          <w:rFonts w:hint="eastAsia" w:ascii="楷体" w:hAnsi="楷体" w:eastAsia="楷体" w:cs="楷体_GB2312"/>
          <w:bCs/>
          <w:sz w:val="32"/>
          <w:szCs w:val="32"/>
        </w:rPr>
        <w:t>自评的方法和过程</w:t>
      </w:r>
    </w:p>
    <w:p w14:paraId="4E7B5933">
      <w:pPr>
        <w:numPr>
          <w:ilvl w:val="0"/>
          <w:numId w:val="0"/>
        </w:numPr>
        <w:spacing w:line="560" w:lineRule="exact"/>
        <w:ind w:firstLine="640" w:firstLineChars="200"/>
        <w:rPr>
          <w:rFonts w:ascii="楷体" w:hAnsi="楷体" w:eastAsia="楷体" w:cs="楷体_GB2312"/>
          <w:bCs/>
          <w:sz w:val="32"/>
          <w:szCs w:val="32"/>
        </w:rPr>
      </w:pPr>
      <w:r>
        <w:rPr>
          <w:rFonts w:hint="eastAsia" w:ascii="仿宋_GB2312" w:hAnsi="仿宋_GB2312" w:eastAsia="仿宋_GB2312" w:cs="仿宋_GB2312"/>
          <w:sz w:val="32"/>
          <w:szCs w:val="32"/>
        </w:rPr>
        <w:t>自评的方法和过程</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查看项目实际完成情况，资金实际支付情况，满意度调查。</w:t>
      </w:r>
    </w:p>
    <w:p w14:paraId="76E97903">
      <w:pPr>
        <w:spacing w:line="560" w:lineRule="exact"/>
        <w:rPr>
          <w:rFonts w:ascii="黑体" w:hAnsi="黑体" w:eastAsia="黑体"/>
          <w:b/>
          <w:bCs/>
          <w:sz w:val="32"/>
          <w:szCs w:val="32"/>
        </w:rPr>
      </w:pPr>
      <w:r>
        <w:rPr>
          <w:rFonts w:hint="eastAsia" w:ascii="黑体" w:hAnsi="黑体" w:eastAsia="黑体"/>
          <w:sz w:val="32"/>
          <w:szCs w:val="32"/>
        </w:rPr>
        <w:t xml:space="preserve">    三、部门整体支出绩效目标实现情况及指标分析</w:t>
      </w:r>
    </w:p>
    <w:p w14:paraId="3BE5FFD4">
      <w:pPr>
        <w:numPr>
          <w:ilvl w:val="0"/>
          <w:numId w:val="3"/>
        </w:numPr>
        <w:spacing w:line="560" w:lineRule="exact"/>
        <w:ind w:firstLine="640" w:firstLineChars="200"/>
        <w:rPr>
          <w:rFonts w:ascii="楷体" w:hAnsi="楷体" w:eastAsia="楷体" w:cs="楷体_GB2312"/>
          <w:bCs/>
          <w:sz w:val="32"/>
          <w:szCs w:val="32"/>
        </w:rPr>
      </w:pPr>
      <w:r>
        <w:rPr>
          <w:rFonts w:hint="eastAsia" w:ascii="楷体" w:hAnsi="楷体" w:eastAsia="楷体" w:cs="楷体_GB2312"/>
          <w:bCs/>
          <w:sz w:val="32"/>
          <w:szCs w:val="32"/>
        </w:rPr>
        <w:t>总体绩效目标实现情况</w:t>
      </w:r>
    </w:p>
    <w:p w14:paraId="21F9D865">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在开展预算自评工作时，针对具体绩效评价对象的特点，设计能够体现项目特点绩效评价指标体系。绩效指标权重由各部门根据评价对象实际情况确定，总分设定为100分。原则上一级指标权重统一设置为：产出指标40分（包含数量、质量、时效、成本）、预算执行率指标10分、效益指标40分（包含经济效益、社会效益、生态效益、可持续影响）、满意度指标10分。如某一类指标未设定，其分值可合理调整至其他指标。若被评价项目不涉及服务对象满意度内容或因服务对象满意度获取难度较大、成本较高而未能获取，则服务对象满意度的10分调入效益考核事项。</w:t>
      </w:r>
    </w:p>
    <w:p w14:paraId="06EB7D07">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二、三级指标所占权重应当根据指标重要程度、项目实施阶段等因素综合确定，准确反映预算项目的产出和效果。</w:t>
      </w:r>
    </w:p>
    <w:p w14:paraId="4EEA0C23">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同类评价对象的指标权重设置应当基本一致，便于评价结果相互比较。</w:t>
      </w:r>
    </w:p>
    <w:p w14:paraId="4D678940">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 w:hAnsi="仿宋" w:eastAsia="仿宋" w:cs="仿宋"/>
          <w:sz w:val="32"/>
          <w:szCs w:val="32"/>
          <w:lang w:val="en-US" w:eastAsia="zh-CN"/>
        </w:rPr>
        <w:t>教育系统</w:t>
      </w:r>
      <w:r>
        <w:rPr>
          <w:rFonts w:hint="eastAsia" w:ascii="仿宋_GB2312" w:hAnsi="仿宋_GB2312" w:eastAsia="仿宋_GB2312" w:cs="仿宋_GB2312"/>
          <w:sz w:val="32"/>
          <w:szCs w:val="32"/>
        </w:rPr>
        <w:t>项</w:t>
      </w:r>
      <w:r>
        <w:rPr>
          <w:rFonts w:hint="eastAsia" w:ascii="仿宋_GB2312" w:hAnsi="仿宋_GB2312" w:eastAsia="仿宋_GB2312" w:cs="仿宋_GB2312"/>
          <w:sz w:val="32"/>
          <w:szCs w:val="32"/>
          <w:lang w:eastAsia="zh-CN"/>
        </w:rPr>
        <w:t>目</w:t>
      </w:r>
      <w:r>
        <w:rPr>
          <w:rFonts w:hint="eastAsia" w:ascii="仿宋_GB2312" w:hAnsi="仿宋_GB2312" w:eastAsia="仿宋_GB2312" w:cs="仿宋_GB2312"/>
          <w:sz w:val="32"/>
          <w:szCs w:val="32"/>
        </w:rPr>
        <w:t>均从20</w:t>
      </w:r>
      <w:r>
        <w:rPr>
          <w:rFonts w:hint="eastAsia" w:ascii="仿宋_GB2312" w:hAnsi="仿宋_GB2312" w:eastAsia="仿宋_GB2312" w:cs="仿宋_GB2312"/>
          <w:sz w:val="32"/>
          <w:szCs w:val="32"/>
          <w:lang w:val="en-US" w:eastAsia="zh-CN"/>
        </w:rPr>
        <w:t>25</w:t>
      </w:r>
      <w:r>
        <w:rPr>
          <w:rFonts w:hint="eastAsia" w:ascii="仿宋_GB2312" w:hAnsi="仿宋_GB2312" w:eastAsia="仿宋_GB2312" w:cs="仿宋_GB2312"/>
          <w:sz w:val="32"/>
          <w:szCs w:val="32"/>
        </w:rPr>
        <w:t>年初计划实施，并于20</w:t>
      </w:r>
      <w:r>
        <w:rPr>
          <w:rFonts w:hint="eastAsia" w:ascii="仿宋_GB2312" w:hAnsi="仿宋_GB2312" w:eastAsia="仿宋_GB2312" w:cs="仿宋_GB2312"/>
          <w:sz w:val="32"/>
          <w:szCs w:val="32"/>
          <w:lang w:val="en-US" w:eastAsia="zh-CN"/>
        </w:rPr>
        <w:t>25</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eastAsia="zh-CN"/>
        </w:rPr>
        <w:t>末</w:t>
      </w:r>
      <w:r>
        <w:rPr>
          <w:rFonts w:hint="eastAsia" w:ascii="仿宋_GB2312" w:hAnsi="仿宋_GB2312" w:eastAsia="仿宋_GB2312" w:cs="仿宋_GB2312"/>
          <w:sz w:val="32"/>
          <w:szCs w:val="32"/>
        </w:rPr>
        <w:t>完成年度绩效目标。</w:t>
      </w:r>
      <w:r>
        <w:rPr>
          <w:rFonts w:hint="eastAsia" w:ascii="仿宋" w:hAnsi="仿宋" w:eastAsia="仿宋" w:cs="仿宋"/>
          <w:sz w:val="32"/>
          <w:szCs w:val="32"/>
          <w:lang w:val="en-US" w:eastAsia="zh-CN"/>
        </w:rPr>
        <w:t>教育系统</w:t>
      </w:r>
      <w:r>
        <w:rPr>
          <w:rFonts w:hint="eastAsia" w:ascii="仿宋_GB2312" w:hAnsi="仿宋_GB2312" w:eastAsia="仿宋_GB2312" w:cs="仿宋_GB2312"/>
          <w:sz w:val="32"/>
          <w:szCs w:val="32"/>
        </w:rPr>
        <w:t>按照</w:t>
      </w:r>
      <w:r>
        <w:rPr>
          <w:rFonts w:hint="eastAsia" w:ascii="仿宋_GB2312" w:hAnsi="仿宋_GB2312" w:eastAsia="仿宋_GB2312" w:cs="仿宋_GB2312"/>
          <w:sz w:val="32"/>
          <w:szCs w:val="32"/>
          <w:lang w:eastAsia="zh-CN"/>
        </w:rPr>
        <w:t>资金</w:t>
      </w:r>
      <w:r>
        <w:rPr>
          <w:rFonts w:hint="eastAsia" w:ascii="仿宋_GB2312" w:hAnsi="仿宋_GB2312" w:eastAsia="仿宋_GB2312" w:cs="仿宋_GB2312"/>
          <w:sz w:val="32"/>
          <w:szCs w:val="32"/>
        </w:rPr>
        <w:t>的开支标准，结合本单位的实际工作，对</w:t>
      </w:r>
      <w:r>
        <w:rPr>
          <w:rFonts w:hint="eastAsia" w:ascii="仿宋_GB2312" w:hAnsi="仿宋_GB2312" w:eastAsia="仿宋_GB2312" w:cs="仿宋_GB2312"/>
          <w:sz w:val="32"/>
          <w:szCs w:val="32"/>
          <w:lang w:eastAsia="zh-CN"/>
        </w:rPr>
        <w:t>项目资金</w:t>
      </w:r>
      <w:r>
        <w:rPr>
          <w:rFonts w:hint="eastAsia" w:ascii="仿宋_GB2312" w:hAnsi="仿宋_GB2312" w:eastAsia="仿宋_GB2312" w:cs="仿宋_GB2312"/>
          <w:sz w:val="32"/>
          <w:szCs w:val="32"/>
        </w:rPr>
        <w:t>开支进行规范化、制度化，每个项目安排人员负责管理、监管，层层把关，层层担责。项目由负责人和分管领导拟定项目具体实施方案、合同等，对金额大的</w:t>
      </w:r>
      <w:r>
        <w:rPr>
          <w:rFonts w:hint="eastAsia" w:ascii="仿宋_GB2312" w:hAnsi="仿宋_GB2312" w:eastAsia="仿宋_GB2312" w:cs="仿宋_GB2312"/>
          <w:sz w:val="32"/>
          <w:szCs w:val="32"/>
          <w:lang w:eastAsia="zh-CN"/>
        </w:rPr>
        <w:t>项目</w:t>
      </w:r>
      <w:r>
        <w:rPr>
          <w:rFonts w:hint="eastAsia" w:ascii="仿宋_GB2312" w:hAnsi="仿宋_GB2312" w:eastAsia="仿宋_GB2312" w:cs="仿宋_GB2312"/>
          <w:sz w:val="32"/>
          <w:szCs w:val="32"/>
        </w:rPr>
        <w:t>进行招投标管理。项目负责人对项目进行跟踪，确保</w:t>
      </w:r>
      <w:r>
        <w:rPr>
          <w:rFonts w:hint="eastAsia" w:ascii="仿宋_GB2312" w:hAnsi="仿宋_GB2312" w:eastAsia="仿宋_GB2312" w:cs="仿宋_GB2312"/>
          <w:sz w:val="32"/>
          <w:szCs w:val="32"/>
          <w:lang w:eastAsia="zh-CN"/>
        </w:rPr>
        <w:t>项目</w:t>
      </w:r>
      <w:r>
        <w:rPr>
          <w:rFonts w:hint="eastAsia" w:ascii="仿宋_GB2312" w:hAnsi="仿宋_GB2312" w:eastAsia="仿宋_GB2312" w:cs="仿宋_GB2312"/>
          <w:sz w:val="32"/>
          <w:szCs w:val="32"/>
        </w:rPr>
        <w:t>资金正常使用，创造</w:t>
      </w:r>
      <w:r>
        <w:rPr>
          <w:rFonts w:hint="eastAsia" w:ascii="仿宋_GB2312" w:hAnsi="仿宋_GB2312" w:eastAsia="仿宋_GB2312" w:cs="仿宋_GB2312"/>
          <w:sz w:val="32"/>
          <w:szCs w:val="32"/>
          <w:lang w:eastAsia="zh-CN"/>
        </w:rPr>
        <w:t>最大的经济</w:t>
      </w:r>
      <w:r>
        <w:rPr>
          <w:rFonts w:hint="eastAsia" w:ascii="仿宋_GB2312" w:hAnsi="仿宋_GB2312" w:eastAsia="仿宋_GB2312" w:cs="仿宋_GB2312"/>
          <w:sz w:val="32"/>
          <w:szCs w:val="32"/>
        </w:rPr>
        <w:t>效益。</w:t>
      </w:r>
    </w:p>
    <w:p w14:paraId="01EEDCE8">
      <w:pPr>
        <w:spacing w:line="560" w:lineRule="exact"/>
        <w:rPr>
          <w:rFonts w:ascii="楷体" w:hAnsi="楷体" w:eastAsia="楷体"/>
          <w:bCs/>
          <w:sz w:val="32"/>
          <w:szCs w:val="32"/>
        </w:rPr>
      </w:pPr>
      <w:r>
        <w:rPr>
          <w:rFonts w:hint="eastAsia" w:ascii="仿宋" w:hAnsi="仿宋" w:eastAsia="仿宋" w:cs="楷体_GB2312"/>
          <w:b/>
          <w:bCs/>
          <w:sz w:val="32"/>
          <w:szCs w:val="32"/>
        </w:rPr>
        <w:t xml:space="preserve">    </w:t>
      </w:r>
      <w:r>
        <w:rPr>
          <w:rFonts w:hint="eastAsia" w:ascii="楷体" w:hAnsi="楷体" w:eastAsia="楷体" w:cs="楷体_GB2312"/>
          <w:bCs/>
          <w:sz w:val="32"/>
          <w:szCs w:val="32"/>
        </w:rPr>
        <w:t>（二）分项绩效目标实现情况及指标分析</w:t>
      </w:r>
    </w:p>
    <w:p w14:paraId="4731918A">
      <w:pPr>
        <w:pStyle w:val="2"/>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绩效目标实现情况包括以下几个方面</w:t>
      </w:r>
    </w:p>
    <w:p w14:paraId="12071501">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1.项目立项情况分析。对项目立项规范性、绩效目标合理性和绩效指标明确性等情况进行分析后，根据指标体系评分标准计算分值。</w:t>
      </w:r>
    </w:p>
    <w:p w14:paraId="3C800F35">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2.资金落实情况分析。对资金到位率和到位及时率等情况进行分析后，根据指标体系评分标准计算分值。项目支出率</w:t>
      </w:r>
      <w:r>
        <w:rPr>
          <w:rFonts w:hint="eastAsia" w:ascii="仿宋_GB2312" w:hAnsi="仿宋_GB2312" w:eastAsia="仿宋_GB2312" w:cs="仿宋_GB2312"/>
          <w:kern w:val="2"/>
          <w:sz w:val="32"/>
          <w:szCs w:val="32"/>
          <w:highlight w:val="none"/>
          <w:lang w:val="en-US" w:eastAsia="zh-CN" w:bidi="ar-SA"/>
        </w:rPr>
        <w:t>85.9%</w:t>
      </w:r>
      <w:r>
        <w:rPr>
          <w:rFonts w:hint="eastAsia" w:ascii="仿宋_GB2312" w:hAnsi="仿宋_GB2312" w:eastAsia="仿宋_GB2312" w:cs="仿宋_GB2312"/>
          <w:kern w:val="2"/>
          <w:sz w:val="32"/>
          <w:szCs w:val="32"/>
          <w:lang w:val="en-US" w:eastAsia="zh-CN" w:bidi="ar-SA"/>
        </w:rPr>
        <w:t>.</w:t>
      </w:r>
    </w:p>
    <w:p w14:paraId="5195C367">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3.业务管理情况分析。对管理制度健全性、制度执行有效性和项目质量可控性等情况进行分析后，根据指标体系评分标准计算分值。</w:t>
      </w:r>
    </w:p>
    <w:p w14:paraId="1D383C23">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4.财务管理。对管理制度健全性、资金使用合规性和财务监控有效性等情况进行分析后，根据指标体系评分标准计算分值。</w:t>
      </w:r>
    </w:p>
    <w:p w14:paraId="600F3777">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5.项目产出。对项目的实际完成率、完成及时率、质量达标率、成本节约率等情况进行分析后，根据指标体系评分标准计算分值。</w:t>
      </w:r>
    </w:p>
    <w:p w14:paraId="6D65874E">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6.项目效果。对项目的经济效益、社会效益、生态效益、可持续影响和社会公众或服务对象满意度等情况进行分析后，根据指标体系评分标准计算分值。</w:t>
      </w:r>
    </w:p>
    <w:p w14:paraId="4C07C60F">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ascii="仿宋" w:hAnsi="仿宋" w:eastAsia="仿宋"/>
          <w:sz w:val="32"/>
          <w:szCs w:val="32"/>
        </w:rPr>
      </w:pPr>
      <w:r>
        <w:rPr>
          <w:rFonts w:hint="eastAsia" w:ascii="仿宋_GB2312" w:hAnsi="仿宋_GB2312" w:eastAsia="仿宋_GB2312" w:cs="仿宋_GB2312"/>
          <w:kern w:val="2"/>
          <w:sz w:val="32"/>
          <w:szCs w:val="32"/>
          <w:lang w:val="en-US" w:eastAsia="zh-CN" w:bidi="ar-SA"/>
        </w:rPr>
        <w:t>教育系统根据项目绩效评价指标根据评价要求在规定的时间内完成预期绩效目标任务。</w:t>
      </w:r>
    </w:p>
    <w:p w14:paraId="097809B9">
      <w:pPr>
        <w:spacing w:line="560" w:lineRule="exact"/>
        <w:ind w:firstLine="640" w:firstLineChars="200"/>
        <w:rPr>
          <w:rFonts w:ascii="黑体" w:hAnsi="黑体" w:eastAsia="黑体"/>
          <w:sz w:val="32"/>
          <w:szCs w:val="32"/>
        </w:rPr>
      </w:pPr>
      <w:r>
        <w:rPr>
          <w:rFonts w:hint="eastAsia" w:ascii="黑体" w:hAnsi="黑体" w:eastAsia="黑体"/>
          <w:sz w:val="32"/>
          <w:szCs w:val="32"/>
        </w:rPr>
        <w:t>四、评价结论和评价等级</w:t>
      </w:r>
    </w:p>
    <w:p w14:paraId="63DDD6B5">
      <w:pPr>
        <w:spacing w:line="560" w:lineRule="exact"/>
        <w:ind w:firstLine="640" w:firstLineChars="200"/>
        <w:rPr>
          <w:rFonts w:ascii="仿宋" w:hAnsi="仿宋" w:eastAsia="仿宋"/>
          <w:sz w:val="32"/>
          <w:szCs w:val="32"/>
        </w:rPr>
      </w:pPr>
      <w:r>
        <w:rPr>
          <w:rFonts w:hint="eastAsia" w:ascii="仿宋" w:hAnsi="仿宋" w:eastAsia="仿宋"/>
          <w:sz w:val="32"/>
          <w:szCs w:val="32"/>
        </w:rPr>
        <w:t>根据部门职责定位和各项工作履职情况进行综合评价，给出总得分，满分100分，得出综合绩效评价等级。部门整体支出综合绩效评价分为4个等级：得分</w:t>
      </w:r>
      <w:r>
        <w:rPr>
          <w:rFonts w:ascii="仿宋" w:hAnsi="仿宋" w:eastAsia="仿宋" w:cs="Arial"/>
          <w:sz w:val="32"/>
          <w:szCs w:val="32"/>
        </w:rPr>
        <w:t>≥</w:t>
      </w:r>
      <w:r>
        <w:rPr>
          <w:rFonts w:hint="eastAsia" w:ascii="仿宋" w:hAnsi="仿宋" w:eastAsia="仿宋"/>
          <w:sz w:val="32"/>
          <w:szCs w:val="32"/>
        </w:rPr>
        <w:t>85分为优秀；75</w:t>
      </w:r>
      <w:r>
        <w:rPr>
          <w:rFonts w:ascii="仿宋" w:hAnsi="仿宋" w:eastAsia="仿宋" w:cs="Arial"/>
          <w:sz w:val="32"/>
          <w:szCs w:val="32"/>
        </w:rPr>
        <w:t>≤</w:t>
      </w:r>
      <w:r>
        <w:rPr>
          <w:rFonts w:hint="eastAsia" w:ascii="仿宋" w:hAnsi="仿宋" w:eastAsia="仿宋"/>
          <w:sz w:val="32"/>
          <w:szCs w:val="32"/>
        </w:rPr>
        <w:t>得分＜85分为良好；60</w:t>
      </w:r>
      <w:r>
        <w:rPr>
          <w:rFonts w:ascii="仿宋" w:hAnsi="仿宋" w:eastAsia="仿宋" w:cs="Arial"/>
          <w:sz w:val="32"/>
          <w:szCs w:val="32"/>
        </w:rPr>
        <w:t>≤</w:t>
      </w:r>
      <w:r>
        <w:rPr>
          <w:rFonts w:hint="eastAsia" w:ascii="仿宋" w:hAnsi="仿宋" w:eastAsia="仿宋"/>
          <w:sz w:val="32"/>
          <w:szCs w:val="32"/>
        </w:rPr>
        <w:t>得分＜75分为一般；得分＜60分为较差。</w:t>
      </w:r>
    </w:p>
    <w:p w14:paraId="6A28DB53">
      <w:pPr>
        <w:numPr>
          <w:ilvl w:val="0"/>
          <w:numId w:val="4"/>
        </w:numPr>
        <w:spacing w:line="560" w:lineRule="exact"/>
        <w:ind w:firstLine="640" w:firstLineChars="200"/>
        <w:rPr>
          <w:rFonts w:hint="eastAsia" w:ascii="黑体" w:hAnsi="黑体" w:eastAsia="黑体"/>
          <w:sz w:val="32"/>
          <w:szCs w:val="32"/>
        </w:rPr>
      </w:pPr>
      <w:r>
        <w:rPr>
          <w:rFonts w:hint="eastAsia" w:ascii="黑体" w:hAnsi="黑体" w:eastAsia="黑体"/>
          <w:sz w:val="32"/>
          <w:szCs w:val="32"/>
        </w:rPr>
        <w:t>存在的问题及改进措施</w:t>
      </w:r>
    </w:p>
    <w:p w14:paraId="0416EA0A">
      <w:pPr>
        <w:pStyle w:val="8"/>
        <w:keepNext w:val="0"/>
        <w:keepLines w:val="0"/>
        <w:pageBreakBefore w:val="0"/>
        <w:widowControl w:val="0"/>
        <w:kinsoku/>
        <w:wordWrap/>
        <w:overflowPunct/>
        <w:topLinePunct w:val="0"/>
        <w:autoSpaceDE/>
        <w:autoSpaceDN/>
        <w:bidi w:val="0"/>
        <w:adjustRightInd/>
        <w:snapToGrid/>
        <w:spacing w:line="576" w:lineRule="exact"/>
        <w:jc w:val="left"/>
        <w:textAlignment w:val="auto"/>
        <w:rPr>
          <w:rFonts w:ascii="仿宋" w:hAnsi="仿宋" w:eastAsia="仿宋" w:cs="仿宋"/>
          <w:sz w:val="32"/>
          <w:szCs w:val="32"/>
        </w:rPr>
      </w:pPr>
      <w:r>
        <w:rPr>
          <w:rFonts w:hint="eastAsia" w:ascii="仿宋" w:hAnsi="仿宋" w:eastAsia="仿宋" w:cs="仿宋"/>
          <w:sz w:val="32"/>
          <w:szCs w:val="32"/>
        </w:rPr>
        <w:t>在今后的工作中严格按照相关规定编制预算，使预算编制准确,部门整体绩效目标编制完整、合理,项目绩效目标编制明确、量化。加强项目管理，掌握项目的事前、事中、事后绩效评价工作。加大绩效考核力度，进一步提高工作质量和办事效率，年末使各项目执行率均达到100%。</w:t>
      </w:r>
    </w:p>
    <w:p w14:paraId="6F202021">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sz w:val="32"/>
          <w:szCs w:val="32"/>
        </w:rPr>
      </w:pPr>
      <w:r>
        <w:rPr>
          <w:rFonts w:hint="eastAsia" w:ascii="仿宋" w:hAnsi="仿宋" w:eastAsia="仿宋" w:cs="仿宋"/>
          <w:sz w:val="32"/>
          <w:szCs w:val="32"/>
        </w:rPr>
        <w:t>我们将利用每年的绩效自评工作，总结上一年业务工作中存在的问题和不足，把以后的业务工作开展的更加顺畅，标准更加合理，经费使用更加规范。</w:t>
      </w:r>
    </w:p>
    <w:p w14:paraId="57F0E015">
      <w:pPr>
        <w:adjustRightInd w:val="0"/>
        <w:snapToGrid w:val="0"/>
        <w:spacing w:line="560" w:lineRule="exact"/>
        <w:ind w:firstLine="640" w:firstLineChars="200"/>
        <w:rPr>
          <w:rFonts w:ascii="黑体" w:hAnsi="黑体" w:eastAsia="黑体"/>
          <w:sz w:val="32"/>
          <w:szCs w:val="32"/>
        </w:rPr>
      </w:pPr>
      <w:r>
        <w:rPr>
          <w:rFonts w:hint="eastAsia" w:ascii="黑体" w:hAnsi="黑体" w:eastAsia="黑体"/>
          <w:sz w:val="32"/>
          <w:szCs w:val="32"/>
        </w:rPr>
        <w:t>六、评价工作组人员名单及签字（姓名、工作单位、职务、职称）</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66"/>
        <w:gridCol w:w="2883"/>
        <w:gridCol w:w="1849"/>
      </w:tblGrid>
      <w:tr w14:paraId="54ADED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6" w:hRule="atLeast"/>
          <w:jc w:val="center"/>
        </w:trPr>
        <w:tc>
          <w:tcPr>
            <w:tcW w:w="2366" w:type="dxa"/>
          </w:tcPr>
          <w:p w14:paraId="3C1DEF50">
            <w:pPr>
              <w:spacing w:line="560" w:lineRule="exact"/>
              <w:ind w:firstLine="640" w:firstLineChars="200"/>
              <w:rPr>
                <w:rFonts w:hint="eastAsia" w:ascii="仿宋" w:hAnsi="仿宋" w:eastAsia="仿宋"/>
                <w:sz w:val="32"/>
                <w:szCs w:val="32"/>
                <w:lang w:val="en-US" w:eastAsia="zh-CN"/>
              </w:rPr>
            </w:pPr>
            <w:r>
              <w:rPr>
                <w:rFonts w:hint="eastAsia" w:ascii="仿宋" w:hAnsi="仿宋" w:eastAsia="仿宋"/>
                <w:sz w:val="32"/>
                <w:szCs w:val="32"/>
                <w:lang w:val="en-US" w:eastAsia="zh-CN"/>
              </w:rPr>
              <w:t>姓名</w:t>
            </w:r>
          </w:p>
        </w:tc>
        <w:tc>
          <w:tcPr>
            <w:tcW w:w="2883" w:type="dxa"/>
          </w:tcPr>
          <w:p w14:paraId="1BD296FD">
            <w:pPr>
              <w:spacing w:line="560" w:lineRule="exact"/>
              <w:ind w:firstLine="640" w:firstLineChars="200"/>
              <w:rPr>
                <w:rFonts w:hint="eastAsia" w:ascii="仿宋" w:hAnsi="仿宋" w:eastAsia="仿宋"/>
                <w:sz w:val="32"/>
                <w:szCs w:val="32"/>
                <w:lang w:val="en-US" w:eastAsia="zh-CN"/>
              </w:rPr>
            </w:pPr>
            <w:r>
              <w:rPr>
                <w:rFonts w:hint="eastAsia" w:ascii="仿宋" w:hAnsi="仿宋" w:eastAsia="仿宋"/>
                <w:sz w:val="32"/>
                <w:szCs w:val="32"/>
                <w:lang w:val="en-US" w:eastAsia="zh-CN"/>
              </w:rPr>
              <w:t>工作单位</w:t>
            </w:r>
          </w:p>
        </w:tc>
        <w:tc>
          <w:tcPr>
            <w:tcW w:w="1849" w:type="dxa"/>
          </w:tcPr>
          <w:p w14:paraId="13DA4055">
            <w:pPr>
              <w:spacing w:line="560" w:lineRule="exact"/>
              <w:jc w:val="center"/>
              <w:rPr>
                <w:rFonts w:hint="eastAsia" w:ascii="仿宋" w:hAnsi="仿宋" w:eastAsia="仿宋"/>
                <w:sz w:val="32"/>
                <w:szCs w:val="32"/>
                <w:lang w:val="en-US" w:eastAsia="zh-CN"/>
              </w:rPr>
            </w:pPr>
            <w:r>
              <w:rPr>
                <w:rFonts w:hint="eastAsia" w:ascii="仿宋" w:hAnsi="仿宋" w:eastAsia="仿宋"/>
                <w:sz w:val="32"/>
                <w:szCs w:val="32"/>
                <w:lang w:val="en-US" w:eastAsia="zh-CN"/>
              </w:rPr>
              <w:t>职务</w:t>
            </w:r>
          </w:p>
        </w:tc>
      </w:tr>
      <w:tr w14:paraId="625C37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2366" w:type="dxa"/>
          </w:tcPr>
          <w:p w14:paraId="6C257751">
            <w:pPr>
              <w:spacing w:line="560" w:lineRule="exact"/>
              <w:ind w:firstLine="640" w:firstLineChars="200"/>
              <w:rPr>
                <w:rFonts w:hint="eastAsia" w:ascii="仿宋" w:hAnsi="仿宋" w:eastAsia="仿宋"/>
                <w:sz w:val="32"/>
                <w:szCs w:val="32"/>
                <w:lang w:val="en-US" w:eastAsia="zh-CN"/>
              </w:rPr>
            </w:pPr>
            <w:r>
              <w:rPr>
                <w:rFonts w:hint="eastAsia" w:ascii="仿宋" w:hAnsi="仿宋" w:eastAsia="仿宋"/>
                <w:sz w:val="32"/>
                <w:szCs w:val="32"/>
                <w:lang w:val="en-US" w:eastAsia="zh-CN"/>
              </w:rPr>
              <w:t>李军分</w:t>
            </w:r>
          </w:p>
        </w:tc>
        <w:tc>
          <w:tcPr>
            <w:tcW w:w="2883" w:type="dxa"/>
          </w:tcPr>
          <w:p w14:paraId="1A6815CD">
            <w:pPr>
              <w:spacing w:line="560" w:lineRule="exact"/>
              <w:ind w:firstLine="640" w:firstLineChars="200"/>
              <w:rPr>
                <w:rFonts w:hint="eastAsia" w:ascii="仿宋" w:hAnsi="仿宋" w:eastAsia="仿宋"/>
                <w:sz w:val="32"/>
                <w:szCs w:val="32"/>
                <w:lang w:val="en-US" w:eastAsia="zh-CN"/>
              </w:rPr>
            </w:pPr>
            <w:r>
              <w:rPr>
                <w:rFonts w:hint="eastAsia" w:ascii="仿宋" w:hAnsi="仿宋" w:eastAsia="仿宋"/>
                <w:sz w:val="32"/>
                <w:szCs w:val="32"/>
                <w:lang w:val="en-US" w:eastAsia="zh-CN"/>
              </w:rPr>
              <w:t>赵县教育局</w:t>
            </w:r>
          </w:p>
        </w:tc>
        <w:tc>
          <w:tcPr>
            <w:tcW w:w="1849" w:type="dxa"/>
          </w:tcPr>
          <w:p w14:paraId="638F7D51">
            <w:pPr>
              <w:spacing w:line="560" w:lineRule="exact"/>
              <w:jc w:val="center"/>
              <w:rPr>
                <w:rFonts w:hint="eastAsia" w:ascii="仿宋" w:hAnsi="仿宋" w:eastAsia="仿宋"/>
                <w:sz w:val="32"/>
                <w:szCs w:val="32"/>
                <w:lang w:val="en-US" w:eastAsia="zh-CN"/>
              </w:rPr>
            </w:pPr>
            <w:r>
              <w:rPr>
                <w:rFonts w:hint="eastAsia" w:ascii="仿宋" w:hAnsi="仿宋" w:eastAsia="仿宋"/>
                <w:sz w:val="32"/>
                <w:szCs w:val="32"/>
                <w:lang w:val="en-US" w:eastAsia="zh-CN"/>
              </w:rPr>
              <w:t>副局长</w:t>
            </w:r>
          </w:p>
        </w:tc>
      </w:tr>
      <w:tr w14:paraId="0B4D7B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6" w:hRule="atLeast"/>
          <w:jc w:val="center"/>
        </w:trPr>
        <w:tc>
          <w:tcPr>
            <w:tcW w:w="2366" w:type="dxa"/>
          </w:tcPr>
          <w:p w14:paraId="349DA44E">
            <w:pPr>
              <w:spacing w:line="560" w:lineRule="exact"/>
              <w:ind w:firstLine="640" w:firstLineChars="200"/>
              <w:rPr>
                <w:rFonts w:hint="eastAsia" w:ascii="仿宋" w:hAnsi="仿宋" w:eastAsia="仿宋"/>
                <w:sz w:val="32"/>
                <w:szCs w:val="32"/>
                <w:lang w:val="en-US" w:eastAsia="zh-CN"/>
              </w:rPr>
            </w:pPr>
            <w:r>
              <w:rPr>
                <w:rFonts w:hint="eastAsia" w:ascii="仿宋" w:hAnsi="仿宋" w:eastAsia="仿宋"/>
                <w:sz w:val="32"/>
                <w:szCs w:val="32"/>
                <w:lang w:val="en-US" w:eastAsia="zh-CN"/>
              </w:rPr>
              <w:t>何彦</w:t>
            </w:r>
          </w:p>
        </w:tc>
        <w:tc>
          <w:tcPr>
            <w:tcW w:w="2883" w:type="dxa"/>
            <w:vAlign w:val="top"/>
          </w:tcPr>
          <w:p w14:paraId="45BB7893">
            <w:pPr>
              <w:spacing w:line="560" w:lineRule="exact"/>
              <w:ind w:firstLine="640" w:firstLineChars="200"/>
              <w:rPr>
                <w:rFonts w:hint="eastAsia" w:ascii="仿宋" w:hAnsi="仿宋" w:eastAsia="仿宋"/>
                <w:sz w:val="32"/>
                <w:szCs w:val="32"/>
                <w:lang w:val="en-US" w:eastAsia="zh-CN"/>
              </w:rPr>
            </w:pPr>
            <w:r>
              <w:rPr>
                <w:rFonts w:hint="eastAsia" w:ascii="仿宋" w:hAnsi="仿宋" w:eastAsia="仿宋"/>
                <w:sz w:val="32"/>
                <w:szCs w:val="32"/>
                <w:lang w:val="en-US" w:eastAsia="zh-CN"/>
              </w:rPr>
              <w:t>赵县教育局</w:t>
            </w:r>
          </w:p>
        </w:tc>
        <w:tc>
          <w:tcPr>
            <w:tcW w:w="1849" w:type="dxa"/>
          </w:tcPr>
          <w:p w14:paraId="523DAACF">
            <w:pPr>
              <w:spacing w:line="560" w:lineRule="exact"/>
              <w:jc w:val="center"/>
              <w:rPr>
                <w:rFonts w:hint="eastAsia" w:ascii="仿宋" w:hAnsi="仿宋" w:eastAsia="仿宋"/>
                <w:sz w:val="32"/>
                <w:szCs w:val="32"/>
                <w:lang w:val="en-US" w:eastAsia="zh-CN"/>
              </w:rPr>
            </w:pPr>
            <w:r>
              <w:rPr>
                <w:rFonts w:hint="eastAsia" w:ascii="仿宋" w:hAnsi="仿宋" w:eastAsia="仿宋"/>
                <w:sz w:val="32"/>
                <w:szCs w:val="32"/>
                <w:lang w:val="en-US" w:eastAsia="zh-CN"/>
              </w:rPr>
              <w:t>股长</w:t>
            </w:r>
          </w:p>
        </w:tc>
      </w:tr>
      <w:tr w14:paraId="7D5512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jc w:val="center"/>
        </w:trPr>
        <w:tc>
          <w:tcPr>
            <w:tcW w:w="2366" w:type="dxa"/>
          </w:tcPr>
          <w:p w14:paraId="030AE93F">
            <w:pPr>
              <w:spacing w:line="560" w:lineRule="exact"/>
              <w:ind w:firstLine="640" w:firstLineChars="200"/>
              <w:rPr>
                <w:rFonts w:hint="eastAsia" w:ascii="仿宋" w:hAnsi="仿宋" w:eastAsia="仿宋"/>
                <w:sz w:val="32"/>
                <w:szCs w:val="32"/>
                <w:lang w:val="en-US" w:eastAsia="zh-CN"/>
              </w:rPr>
            </w:pPr>
            <w:r>
              <w:rPr>
                <w:rFonts w:hint="eastAsia" w:ascii="仿宋" w:hAnsi="仿宋" w:eastAsia="仿宋"/>
                <w:sz w:val="32"/>
                <w:szCs w:val="32"/>
                <w:lang w:val="en-US" w:eastAsia="zh-CN"/>
              </w:rPr>
              <w:t>郭少博</w:t>
            </w:r>
          </w:p>
        </w:tc>
        <w:tc>
          <w:tcPr>
            <w:tcW w:w="2883" w:type="dxa"/>
            <w:vAlign w:val="top"/>
          </w:tcPr>
          <w:p w14:paraId="251B61DB">
            <w:pPr>
              <w:spacing w:line="560" w:lineRule="exact"/>
              <w:ind w:firstLine="640" w:firstLineChars="200"/>
              <w:rPr>
                <w:rFonts w:hint="eastAsia" w:ascii="仿宋" w:hAnsi="仿宋" w:eastAsia="仿宋"/>
                <w:sz w:val="32"/>
                <w:szCs w:val="32"/>
                <w:lang w:val="en-US" w:eastAsia="zh-CN"/>
              </w:rPr>
            </w:pPr>
            <w:r>
              <w:rPr>
                <w:rFonts w:hint="eastAsia" w:ascii="仿宋" w:hAnsi="仿宋" w:eastAsia="仿宋"/>
                <w:sz w:val="32"/>
                <w:szCs w:val="32"/>
                <w:lang w:val="en-US" w:eastAsia="zh-CN"/>
              </w:rPr>
              <w:t>赵县教育局</w:t>
            </w:r>
          </w:p>
        </w:tc>
        <w:tc>
          <w:tcPr>
            <w:tcW w:w="1849" w:type="dxa"/>
          </w:tcPr>
          <w:p w14:paraId="304EB7D8">
            <w:pPr>
              <w:spacing w:line="560" w:lineRule="exact"/>
              <w:jc w:val="center"/>
              <w:rPr>
                <w:rFonts w:hint="eastAsia" w:ascii="仿宋" w:hAnsi="仿宋" w:eastAsia="仿宋"/>
                <w:sz w:val="32"/>
                <w:szCs w:val="32"/>
                <w:lang w:val="en-US" w:eastAsia="zh-CN"/>
              </w:rPr>
            </w:pPr>
            <w:r>
              <w:rPr>
                <w:rFonts w:hint="eastAsia" w:ascii="仿宋" w:hAnsi="仿宋" w:eastAsia="仿宋"/>
                <w:sz w:val="32"/>
                <w:szCs w:val="32"/>
                <w:lang w:val="en-US" w:eastAsia="zh-CN"/>
              </w:rPr>
              <w:t>股员</w:t>
            </w:r>
          </w:p>
        </w:tc>
      </w:tr>
    </w:tbl>
    <w:p w14:paraId="793C1A9E">
      <w:pPr>
        <w:pStyle w:val="2"/>
        <w:rPr>
          <w:rFonts w:hint="eastAsia" w:ascii="仿宋" w:hAnsi="仿宋" w:eastAsia="仿宋"/>
          <w:lang w:val="en-US" w:eastAsia="zh-CN"/>
        </w:rPr>
      </w:pPr>
      <w:r>
        <w:rPr>
          <w:rFonts w:hint="eastAsia" w:ascii="仿宋" w:hAnsi="仿宋" w:eastAsia="仿宋"/>
          <w:lang w:val="en-US" w:eastAsia="zh-CN"/>
        </w:rPr>
        <w:t xml:space="preserve">                                </w:t>
      </w:r>
    </w:p>
    <w:p w14:paraId="7E49726F">
      <w:pPr>
        <w:pStyle w:val="2"/>
        <w:rPr>
          <w:rFonts w:hint="default" w:ascii="仿宋" w:hAnsi="仿宋" w:eastAsia="仿宋"/>
          <w:lang w:val="en-US" w:eastAsia="zh-CN"/>
        </w:rPr>
      </w:pPr>
      <w:r>
        <w:rPr>
          <w:rFonts w:hint="eastAsia" w:ascii="仿宋" w:hAnsi="仿宋" w:eastAsia="仿宋"/>
          <w:lang w:val="en-US" w:eastAsia="zh-CN"/>
        </w:rPr>
        <w:t xml:space="preserve">                                                                </w:t>
      </w:r>
      <w:bookmarkStart w:id="0" w:name="_GoBack"/>
      <w:bookmarkEnd w:id="0"/>
    </w:p>
    <w:sectPr>
      <w:footerReference r:id="rId3" w:type="default"/>
      <w:pgSz w:w="11906" w:h="16838"/>
      <w:pgMar w:top="1440" w:right="1474" w:bottom="1440" w:left="1587" w:header="851" w:footer="992" w:gutter="0"/>
      <w:pgNumType w:fmt="numberInDash"/>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华文楷体">
    <w:altName w:val="楷体_GB2312"/>
    <w:panose1 w:val="00000000000000000000"/>
    <w:charset w:val="86"/>
    <w:family w:val="auto"/>
    <w:pitch w:val="default"/>
    <w:sig w:usb0="00000000" w:usb1="00000000" w:usb2="00000000" w:usb3="00000000" w:csb0="0004009F" w:csb1="DFD7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95E23A">
    <w:pPr>
      <w:pStyle w:val="3"/>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Quad Arrow 307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CEEA5F3">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- 2 -</w:t>
                          </w:r>
                          <w:r>
                            <w:rPr>
                              <w:rFonts w:hint="eastAsia"/>
                              <w:sz w:val="18"/>
                            </w:rPr>
                            <w:fldChar w:fldCharType="end"/>
                          </w:r>
                        </w:p>
                      </w:txbxContent>
                    </wps:txbx>
                    <wps:bodyPr wrap="none" lIns="0" tIns="0" rIns="0" bIns="0" upright="1">
                      <a:spAutoFit/>
                    </wps:bodyPr>
                  </wps:wsp>
                </a:graphicData>
              </a:graphic>
            </wp:anchor>
          </w:drawing>
        </mc:Choice>
        <mc:Fallback>
          <w:pict>
            <v:shape id="Quad Arrow 3073"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">
              <v:fill on="f" focussize="0,0"/>
              <v:stroke on="f"/>
              <v:imagedata o:title=""/>
              <o:lock v:ext="edit" aspectratio="f"/>
              <v:textbox inset="0mm,0mm,0mm,0mm" style="mso-fit-shape-to-text:t;">
                <w:txbxContent>
                  <w:p w14:paraId="4CEEA5F3">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- 2 -</w:t>
                    </w:r>
                    <w:r>
                      <w:rPr>
                        <w:rFonts w:hint="eastAsia"/>
                        <w:sz w:val="18"/>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F8EF9B"/>
    <w:multiLevelType w:val="singleLevel"/>
    <w:tmpl w:val="92F8EF9B"/>
    <w:lvl w:ilvl="0" w:tentative="0">
      <w:start w:val="5"/>
      <w:numFmt w:val="chineseCounting"/>
      <w:suff w:val="nothing"/>
      <w:lvlText w:val="%1、"/>
      <w:lvlJc w:val="left"/>
      <w:rPr>
        <w:rFonts w:hint="eastAsia"/>
      </w:rPr>
    </w:lvl>
  </w:abstractNum>
  <w:abstractNum w:abstractNumId="1">
    <w:nsid w:val="0516AA81"/>
    <w:multiLevelType w:val="singleLevel"/>
    <w:tmpl w:val="0516AA81"/>
    <w:lvl w:ilvl="0" w:tentative="0">
      <w:start w:val="2"/>
      <w:numFmt w:val="chineseCounting"/>
      <w:suff w:val="nothing"/>
      <w:lvlText w:val="（%1）"/>
      <w:lvlJc w:val="left"/>
      <w:pPr>
        <w:ind w:left="642" w:firstLine="0"/>
      </w:pPr>
      <w:rPr>
        <w:rFonts w:hint="eastAsia"/>
      </w:rPr>
    </w:lvl>
  </w:abstractNum>
  <w:abstractNum w:abstractNumId="2">
    <w:nsid w:val="2C9788A2"/>
    <w:multiLevelType w:val="singleLevel"/>
    <w:tmpl w:val="2C9788A2"/>
    <w:lvl w:ilvl="0" w:tentative="0">
      <w:start w:val="2"/>
      <w:numFmt w:val="chineseCounting"/>
      <w:suff w:val="nothing"/>
      <w:lvlText w:val="（%1）"/>
      <w:lvlJc w:val="left"/>
      <w:rPr>
        <w:rFonts w:hint="eastAsia"/>
      </w:rPr>
    </w:lvl>
  </w:abstractNum>
  <w:abstractNum w:abstractNumId="3">
    <w:nsid w:val="5E68489B"/>
    <w:multiLevelType w:val="singleLevel"/>
    <w:tmpl w:val="5E68489B"/>
    <w:lvl w:ilvl="0" w:tentative="0">
      <w:start w:val="1"/>
      <w:numFmt w:val="chineseCounting"/>
      <w:suff w:val="nothing"/>
      <w:lvlText w:val="（%1）"/>
      <w:lvlJc w:val="left"/>
      <w:rPr>
        <w:rFonts w:ascii="楷体" w:hAnsi="楷体" w:eastAsia="楷体"/>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NotTrackMoves/>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MzZjY3ZjEwODQzMmQ0MjQ3YTE1NGNmYWIzNjYzOTUifQ=="/>
  </w:docVars>
  <w:rsids>
    <w:rsidRoot w:val="0EBD2122"/>
    <w:rsid w:val="000B0260"/>
    <w:rsid w:val="002C1006"/>
    <w:rsid w:val="007E6C1F"/>
    <w:rsid w:val="00956A93"/>
    <w:rsid w:val="009D11C5"/>
    <w:rsid w:val="009E575C"/>
    <w:rsid w:val="00AB45AC"/>
    <w:rsid w:val="00AF167E"/>
    <w:rsid w:val="00AF566A"/>
    <w:rsid w:val="00B478EA"/>
    <w:rsid w:val="00B6553A"/>
    <w:rsid w:val="00BC6576"/>
    <w:rsid w:val="00C968D1"/>
    <w:rsid w:val="00CE06BA"/>
    <w:rsid w:val="00F441CC"/>
    <w:rsid w:val="00F75EFB"/>
    <w:rsid w:val="01B104CA"/>
    <w:rsid w:val="02106AB0"/>
    <w:rsid w:val="02B43A28"/>
    <w:rsid w:val="02B85566"/>
    <w:rsid w:val="046F331E"/>
    <w:rsid w:val="07956271"/>
    <w:rsid w:val="09721397"/>
    <w:rsid w:val="0BB63BED"/>
    <w:rsid w:val="0EB97A43"/>
    <w:rsid w:val="0EBD2122"/>
    <w:rsid w:val="0F214EAE"/>
    <w:rsid w:val="11B71E6A"/>
    <w:rsid w:val="13080F3A"/>
    <w:rsid w:val="1AAF0063"/>
    <w:rsid w:val="1BE140DE"/>
    <w:rsid w:val="248C197D"/>
    <w:rsid w:val="252959AF"/>
    <w:rsid w:val="277A6671"/>
    <w:rsid w:val="292D35B7"/>
    <w:rsid w:val="29392EFC"/>
    <w:rsid w:val="33EB6CFF"/>
    <w:rsid w:val="35A12947"/>
    <w:rsid w:val="37387040"/>
    <w:rsid w:val="3B625C0A"/>
    <w:rsid w:val="3CEE1963"/>
    <w:rsid w:val="3F19493E"/>
    <w:rsid w:val="436B78D3"/>
    <w:rsid w:val="4C9C27FE"/>
    <w:rsid w:val="50135A7B"/>
    <w:rsid w:val="512260B4"/>
    <w:rsid w:val="52BD6ACB"/>
    <w:rsid w:val="55537534"/>
    <w:rsid w:val="561A74F1"/>
    <w:rsid w:val="597244E8"/>
    <w:rsid w:val="59DC6BF4"/>
    <w:rsid w:val="5EB71C30"/>
    <w:rsid w:val="66AF0CE5"/>
    <w:rsid w:val="67BD51C8"/>
    <w:rsid w:val="6AC537CF"/>
    <w:rsid w:val="6CB25DDC"/>
    <w:rsid w:val="6E5B14A6"/>
    <w:rsid w:val="711B255E"/>
    <w:rsid w:val="7BB51E06"/>
    <w:rsid w:val="7C387F7C"/>
    <w:rsid w:val="7FE83423"/>
  </w:rsids>
  <m:mathPr>
    <m:mathFont m:val="Cambria Math"/>
    <m:brkBin m:val="before"/>
    <m:brkBinSub m:val="--"/>
    <m:smallFrac m:val="1"/>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黑体"/>
      <w:kern w:val="2"/>
      <w:sz w:val="21"/>
      <w:szCs w:val="22"/>
      <w:lang w:val="en-US" w:eastAsia="zh-CN" w:bidi="ar-SA"/>
    </w:rPr>
  </w:style>
  <w:style w:type="character" w:default="1" w:styleId="7">
    <w:name w:val="Default Paragraph Font"/>
    <w:autoRedefine/>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ody Text"/>
    <w:basedOn w:val="1"/>
    <w:autoRedefine/>
    <w:qFormat/>
    <w:uiPriority w:val="0"/>
    <w:pPr>
      <w:spacing w:after="120" w:afterLines="0"/>
    </w:pPr>
  </w:style>
  <w:style w:type="paragraph" w:styleId="3">
    <w:name w:val="footer"/>
    <w:basedOn w:val="1"/>
    <w:autoRedefine/>
    <w:qFormat/>
    <w:uiPriority w:val="0"/>
    <w:pPr>
      <w:tabs>
        <w:tab w:val="center" w:pos="4153"/>
        <w:tab w:val="right" w:pos="8306"/>
      </w:tabs>
      <w:snapToGrid w:val="0"/>
      <w:jc w:val="left"/>
    </w:pPr>
    <w:rPr>
      <w:sz w:val="18"/>
    </w:rPr>
  </w:style>
  <w:style w:type="paragraph" w:styleId="4">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rFonts w:ascii="Times New Roman" w:hAnsi="Times New Roman"/>
      <w:sz w:val="18"/>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8">
    <w:name w:val="List Paragraph"/>
    <w:basedOn w:val="1"/>
    <w:autoRedefine/>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1852</Words>
  <Characters>1924</Characters>
  <Lines>4</Lines>
  <Paragraphs>1</Paragraphs>
  <TotalTime>2</TotalTime>
  <ScaleCrop>false</ScaleCrop>
  <LinksUpToDate>false</LinksUpToDate>
  <CharactersWithSpaces>1982</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2020-02-04T03:46:00Z</dcterms:created>
  <dc:creator>欣欣大人</dc:creator>
  <cp:lastModifiedBy>郭少博15383291681</cp:lastModifiedBy>
  <cp:lastPrinted>2024-03-06T07:40:00Z</cp:lastPrinted>
  <dcterms:modified xsi:type="dcterms:W3CDTF">2026-04-20T00:53:05Z</dcterms:modified>
  <dc:title>附件3：</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4B85C769AA7C4E3DA6449A70D56E3492_13</vt:lpwstr>
  </property>
  <property fmtid="{D5CDD505-2E9C-101B-9397-08002B2CF9AE}" pid="4" name="KSOTemplateDocerSaveRecord">
    <vt:lpwstr>eyJoZGlkIjoiNDMzZjY3ZjEwODQzMmQ0MjQ3YTE1NGNmYWIzNjYzOTUiLCJ1c2VySWQiOiIzOTc2ODUxMjMifQ==</vt:lpwstr>
  </property>
</Properties>
</file>