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3188F2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0763F62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1E7C9F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共青团赵县委员会</w:t>
      </w:r>
    </w:p>
    <w:p w14:paraId="673820C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D7B1F65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B9EDB7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贯彻落实县委、县政府《全面落实预算绩效管理的实施意见》（[2019]77）文件精神，遵循“科学性、规范性、客观性和公正性”的原则，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共青团中国共产主义青年团赵县委员会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AA53F0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66DB42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73524B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根据《中国共产主义青年团赵县委员会职能配置、内设机构和人员编制规定》， 中国共产主义青年团赵县委员会的主要职责是：</w:t>
      </w:r>
    </w:p>
    <w:p w14:paraId="395F40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1、加强青少年思想政治工作，坚持对青少年的教育和引导，使全县青少年同党中央在思想上、政治上、行动上保持高度一致。</w:t>
      </w:r>
    </w:p>
    <w:p w14:paraId="2EF155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2、制定团员发展规划，做好青年入团工作及团组织建设，并指导帮助基层团组织开展工作。</w:t>
      </w:r>
    </w:p>
    <w:p w14:paraId="49A9B67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3、指导全县少年先锋队工作，做好推优入团工作。</w:t>
      </w:r>
    </w:p>
    <w:p w14:paraId="689432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4、团结带领青年发挥生力军和突击队作用，充分调动和发挥青年的积极性和创造性，积极促进我县经济发展和社会进步。</w:t>
      </w:r>
    </w:p>
    <w:p w14:paraId="4BE67580">
      <w:pPr>
        <w:pStyle w:val="3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5、充分发挥党联系青年的桥梁和纽带作用，在维护国家和人民利益的同时代表和维护青年的利益。围绕党的中心任务，开展适合青年特点的各类活动，关心青年的工作、学习和生活，切实为青年服务，保护和促进青少年的健康成长。</w:t>
      </w:r>
    </w:p>
    <w:p w14:paraId="771009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</w:rPr>
        <w:t>部门机构设置情况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：</w:t>
      </w:r>
    </w:p>
    <w:p w14:paraId="436ADBE3">
      <w:pPr>
        <w:pStyle w:val="3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tbl>
      <w:tblPr>
        <w:tblStyle w:val="6"/>
        <w:tblW w:w="975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3"/>
        <w:gridCol w:w="1134"/>
        <w:gridCol w:w="1276"/>
        <w:gridCol w:w="2902"/>
      </w:tblGrid>
      <w:tr w14:paraId="63B48B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43" w:type="dxa"/>
            <w:vMerge w:val="restart"/>
            <w:vAlign w:val="center"/>
          </w:tcPr>
          <w:p w14:paraId="13529C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书宋_GBK"/>
                <w:b/>
                <w:color w:val="000000"/>
              </w:rPr>
            </w:pPr>
            <w:r>
              <w:rPr>
                <w:rFonts w:ascii="Times New Roman" w:hAnsi="Times New Roman" w:eastAsia="方正书宋_GBK"/>
                <w:b/>
                <w:color w:val="000000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366885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书宋_GBK"/>
                <w:b/>
                <w:color w:val="000000"/>
              </w:rPr>
            </w:pPr>
            <w:r>
              <w:rPr>
                <w:rFonts w:ascii="Times New Roman" w:hAnsi="Times New Roman" w:eastAsia="方正书宋_GBK"/>
                <w:b/>
                <w:color w:val="000000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4CF22D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书宋_GBK"/>
                <w:b/>
                <w:color w:val="000000"/>
              </w:rPr>
            </w:pPr>
            <w:r>
              <w:rPr>
                <w:rFonts w:ascii="Times New Roman" w:hAnsi="Times New Roman" w:eastAsia="方正书宋_GBK"/>
                <w:b/>
                <w:color w:val="000000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 w14:paraId="5B1AC4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书宋_GBK"/>
                <w:b/>
                <w:color w:val="000000"/>
              </w:rPr>
            </w:pPr>
            <w:r>
              <w:rPr>
                <w:rFonts w:ascii="Times New Roman" w:hAnsi="Times New Roman" w:eastAsia="方正书宋_GBK"/>
                <w:b/>
                <w:color w:val="000000"/>
              </w:rPr>
              <w:t>经费保障形式</w:t>
            </w:r>
          </w:p>
        </w:tc>
      </w:tr>
      <w:tr w14:paraId="6EAF35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43" w:type="dxa"/>
            <w:vMerge w:val="continue"/>
            <w:vAlign w:val="center"/>
          </w:tcPr>
          <w:p w14:paraId="248BB7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outlineLvl w:val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1F79C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outlineLvl w:val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276" w:type="dxa"/>
            <w:vMerge w:val="continue"/>
            <w:vAlign w:val="center"/>
          </w:tcPr>
          <w:p w14:paraId="6FA38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outlineLvl w:val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902" w:type="dxa"/>
            <w:vMerge w:val="continue"/>
            <w:vAlign w:val="center"/>
          </w:tcPr>
          <w:p w14:paraId="4BF63E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outlineLvl w:val="0"/>
              <w:rPr>
                <w:rFonts w:ascii="Times New Roman" w:hAnsi="Times New Roman"/>
                <w:color w:val="000000"/>
              </w:rPr>
            </w:pPr>
          </w:p>
        </w:tc>
      </w:tr>
      <w:tr w14:paraId="2259C0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43" w:type="dxa"/>
            <w:vAlign w:val="center"/>
          </w:tcPr>
          <w:p w14:paraId="1883F5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中国共产主义青年团赵县委员会</w:t>
            </w:r>
          </w:p>
        </w:tc>
        <w:tc>
          <w:tcPr>
            <w:tcW w:w="1134" w:type="dxa"/>
            <w:vAlign w:val="center"/>
          </w:tcPr>
          <w:p w14:paraId="6BE75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参公</w:t>
            </w:r>
          </w:p>
        </w:tc>
        <w:tc>
          <w:tcPr>
            <w:tcW w:w="1276" w:type="dxa"/>
            <w:vAlign w:val="center"/>
          </w:tcPr>
          <w:p w14:paraId="2E78CB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902" w:type="dxa"/>
            <w:vAlign w:val="center"/>
          </w:tcPr>
          <w:p w14:paraId="2135FD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方正书宋_GBK" w:eastAsia="方正书宋_GBK"/>
                <w:b/>
                <w:color w:val="000000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</w:tr>
    </w:tbl>
    <w:p w14:paraId="26050C36">
      <w:pPr>
        <w:pStyle w:val="3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 w14:paraId="20F6840F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4E34F10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仿宋_GB2312" w:hAnsi="仿宋_GB2312" w:eastAsia="仿宋_GB2312"/>
          <w:sz w:val="32"/>
        </w:rPr>
        <w:t>按照预算管理有关规定，目前部门预算的编制实行综合预算制度，即全部收入和支出都反映在预算中。</w:t>
      </w:r>
    </w:p>
    <w:p w14:paraId="5D1362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1、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收入说明</w:t>
      </w:r>
    </w:p>
    <w:p w14:paraId="7289D9C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反映本部门当年全部收入。202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59.55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万元，全部为一般公共预算收入。</w:t>
      </w:r>
    </w:p>
    <w:p w14:paraId="798FE3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支出说明</w:t>
      </w:r>
    </w:p>
    <w:p w14:paraId="59AE45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收支预算总表支出栏、基本支出表、项目支出表按经济分类和支出功能分类科目编制，反映我单位202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年度部门预算中支出预算的总体情况。202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年支出预算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59.55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万元，其中基本支出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50.25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万元，包括人员经费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41.15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万元和日常公用经费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万元；项目支出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 w14:paraId="5E9A8C69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22D3EA62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93362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2025年我部门共开展2个项目：预防青少年犯罪工作经费、共青团（少先队）工作及活动经费等两个项目，项目预期绩效目标及具体完成情况：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组织动员广大青年积极投身乡村振兴战略的伟大实践中，在服务大局中全面提升团员青年先进性。完善选培体系，加大乡村振兴领域青年人才选树力度；服务青年创新创业，组织召开青年人才政策交流会，及时推送青年创业好政策。把团员青年紧紧凝聚在党的周围，坚定不移做到红心向党、再建新功。</w:t>
      </w:r>
    </w:p>
    <w:p w14:paraId="53B6762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4E5A088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0917CAB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单位成立了绩效自评工作小组，自评工作专人负责，评价资料完整。</w:t>
      </w:r>
    </w:p>
    <w:p w14:paraId="57A75383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2919569F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对2025年项目年度预算方案实施情况和绩效目标进行了逐项的检查。首先按照绩效评价工作要求，明确绩效评价的内容和范围，初步制定绩效评价工作方案。二是召开座谈会，对工作方案进行反复讨论并广泛征求相关部门和有关人员意见。三是在资料搜集、信息核实、现场调研、访谈沟通等工作的基础上，对我单位各预算项目单独进行打分自评，各项目自评工作为实施单位年度绩效评价工作奠定了基础。    </w:t>
      </w:r>
    </w:p>
    <w:p w14:paraId="6F423A1D">
      <w:pPr>
        <w:numPr>
          <w:ilvl w:val="0"/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</w:p>
    <w:p w14:paraId="1D9AD6FD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608C275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7E6A00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通过比对年初设立的绩效目标与年终执行情况，发现我部门总体绩效目标设定合理，基本能够清晰准确体现工作完成度，能够科学合理安排预算执行进度，绩效准确恰当使用，</w:t>
      </w:r>
    </w:p>
    <w:p w14:paraId="2D90EF6F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4D1DF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sz w:val="32"/>
          <w:szCs w:val="32"/>
        </w:rPr>
        <w:t>经济性评价</w:t>
      </w:r>
    </w:p>
    <w:p w14:paraId="62F38E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本年预算配置控制较好，三公经费变动率为</w:t>
      </w:r>
      <w:r>
        <w:rPr>
          <w:rFonts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。在预算执行方面，全年支出总额控制在预算总额以内，制度执行总体较为有效。</w:t>
      </w:r>
    </w:p>
    <w:p w14:paraId="3DAFC2E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sz w:val="32"/>
          <w:szCs w:val="32"/>
        </w:rPr>
        <w:t>产出效率性评价</w:t>
      </w:r>
    </w:p>
    <w:p w14:paraId="6622E12B">
      <w:pPr>
        <w:pStyle w:val="8"/>
        <w:ind w:firstLine="960" w:firstLineChars="3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1）.各级团组织建设规范化程度显著提高</w:t>
      </w:r>
    </w:p>
    <w:p w14:paraId="38942239">
      <w:pPr>
        <w:pStyle w:val="2"/>
        <w:ind w:left="0" w:leftChars="0" w:firstLine="960" w:firstLineChars="3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2）.各类思想道德宣传教育系列活动圆满完成</w:t>
      </w:r>
    </w:p>
    <w:p w14:paraId="14D74349">
      <w:pPr>
        <w:pStyle w:val="2"/>
        <w:numPr>
          <w:ilvl w:val="0"/>
          <w:numId w:val="0"/>
        </w:numPr>
      </w:pPr>
    </w:p>
    <w:p w14:paraId="5013864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3、</w:t>
      </w:r>
      <w:r>
        <w:rPr>
          <w:rFonts w:hint="eastAsia" w:ascii="楷体_GB2312" w:hAnsi="楷体_GB2312" w:eastAsia="楷体_GB2312" w:cs="楷体_GB2312"/>
          <w:sz w:val="32"/>
          <w:szCs w:val="32"/>
        </w:rPr>
        <w:t>服务满意度方面</w:t>
      </w:r>
    </w:p>
    <w:p w14:paraId="5C914DB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服务对象的满意度</w:t>
      </w:r>
      <w:r>
        <w:rPr>
          <w:rFonts w:ascii="仿宋_GB2312" w:hAnsi="仿宋_GB2312" w:eastAsia="仿宋_GB2312" w:cs="仿宋_GB2312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</w:rPr>
        <w:t>是绩效考核的根本尺度、最后标准。根据《预算项目绩效目标》，本着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实事求是</w:t>
      </w:r>
      <w:r>
        <w:rPr>
          <w:rFonts w:hint="eastAsia" w:ascii="仿宋_GB2312" w:hAnsi="仿宋_GB2312" w:eastAsia="仿宋_GB2312" w:cs="仿宋_GB2312"/>
          <w:sz w:val="32"/>
          <w:szCs w:val="32"/>
        </w:rPr>
        <w:t>的原则，我们对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年团县委工作支出进行了客观的评价，自评为：优秀。</w:t>
      </w:r>
    </w:p>
    <w:p w14:paraId="09B0D95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  <w:bookmarkStart w:id="0" w:name="_GoBack"/>
      <w:bookmarkEnd w:id="0"/>
    </w:p>
    <w:p w14:paraId="67C19A97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针对预算项目实施情况，通过座谈调研、查阅项目管理制度、财务管理制度等业内资料的形式，采用比较分析法，辅以公众评判法对本项目专项资金使用情况进行绩效评价。经评价总体得分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97分，得出综合绩效评价等级为优秀。</w:t>
      </w:r>
    </w:p>
    <w:p w14:paraId="0A3EF4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FFF11D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（一）项目存在的主要问题：</w:t>
      </w:r>
    </w:p>
    <w:p w14:paraId="6051E8F6">
      <w:pPr>
        <w:ind w:left="319" w:leftChars="152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预算编制不够明确和细化，预算编制的合理性需要提高，预算执行力度还要进一步加强。</w:t>
      </w:r>
    </w:p>
    <w:p w14:paraId="60D0A6D0">
      <w:pPr>
        <w:numPr>
          <w:ilvl w:val="0"/>
          <w:numId w:val="3"/>
        </w:num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针对问题提出具体的改进措施或建议：</w:t>
      </w:r>
    </w:p>
    <w:p w14:paraId="1B72C7FB">
      <w:pPr>
        <w:numPr>
          <w:ilvl w:val="0"/>
          <w:numId w:val="0"/>
        </w:numPr>
        <w:ind w:leftChars="20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细化预算编制工作，认真做好预算的编制。进一步加强单位内部机构各股室的预算管理意识，严格按照预算编制的相关制度和要求进行预算编制；全面编制预算项目，优先保障固定性的、相对刚性的费用支出项目，尽量压缩变动性的、有控制空间的费用项目，进一步提高预算编制的科学性、严谨性和可控性。加强内部预算编制的审核和预算控制指标的下达。</w:t>
      </w:r>
    </w:p>
    <w:p w14:paraId="756C6956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p w14:paraId="4FE265A2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领导小组组长：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裴柏琰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团县委副书记</w:t>
      </w:r>
    </w:p>
    <w:p w14:paraId="15E0B51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小  组 成 员：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董亚宁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办公室主任</w:t>
      </w:r>
    </w:p>
    <w:p w14:paraId="5FE20832">
      <w:pPr>
        <w:spacing w:line="560" w:lineRule="exact"/>
        <w:ind w:firstLine="2880" w:firstLineChars="900"/>
        <w:rPr>
          <w:rFonts w:ascii="仿宋" w:hAnsi="仿宋" w:eastAsia="仿宋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贾飞娜   科员</w:t>
      </w:r>
      <w:r>
        <w:rPr>
          <w:rFonts w:hint="eastAsia" w:ascii="仿宋" w:hAnsi="仿宋" w:eastAsia="仿宋"/>
          <w:lang w:val="en-US" w:eastAsia="zh-CN"/>
        </w:rPr>
        <w:t xml:space="preserve">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书宋_GBK">
    <w:altName w:val="微软雅黑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556C09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CC86F7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1D65DA"/>
    <w:multiLevelType w:val="singleLevel"/>
    <w:tmpl w:val="AD1D65D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7956271"/>
    <w:rsid w:val="09721397"/>
    <w:rsid w:val="0BB63BED"/>
    <w:rsid w:val="0BD96198"/>
    <w:rsid w:val="0EB97A43"/>
    <w:rsid w:val="0EBD2122"/>
    <w:rsid w:val="0F214EAE"/>
    <w:rsid w:val="11800065"/>
    <w:rsid w:val="11B71E6A"/>
    <w:rsid w:val="1AAF0063"/>
    <w:rsid w:val="1BE140DE"/>
    <w:rsid w:val="1D491BD5"/>
    <w:rsid w:val="248C197D"/>
    <w:rsid w:val="252959AF"/>
    <w:rsid w:val="277A6671"/>
    <w:rsid w:val="281A529E"/>
    <w:rsid w:val="292D35B7"/>
    <w:rsid w:val="33EB6CFF"/>
    <w:rsid w:val="35A12947"/>
    <w:rsid w:val="37387040"/>
    <w:rsid w:val="3A7C2BAF"/>
    <w:rsid w:val="3B625C0A"/>
    <w:rsid w:val="3BFE12BE"/>
    <w:rsid w:val="3CEE1963"/>
    <w:rsid w:val="436B78D3"/>
    <w:rsid w:val="4C9C27FE"/>
    <w:rsid w:val="512260B4"/>
    <w:rsid w:val="5165450B"/>
    <w:rsid w:val="52BD6ACB"/>
    <w:rsid w:val="55537534"/>
    <w:rsid w:val="561A74F1"/>
    <w:rsid w:val="58A7448A"/>
    <w:rsid w:val="597244E8"/>
    <w:rsid w:val="5EB71C30"/>
    <w:rsid w:val="66AF0CE5"/>
    <w:rsid w:val="6AC537CF"/>
    <w:rsid w:val="6E5B14A6"/>
    <w:rsid w:val="711B255E"/>
    <w:rsid w:val="73E54A11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Theme="minorHAnsi" w:hAnsiTheme="minorHAnsi" w:eastAsiaTheme="minorEastAsia" w:cstheme="minorBidi"/>
    </w:rPr>
  </w:style>
  <w:style w:type="paragraph" w:styleId="3">
    <w:name w:val="Body Text"/>
    <w:basedOn w:val="1"/>
    <w:qFormat/>
    <w:uiPriority w:val="0"/>
    <w:pPr>
      <w:spacing w:after="120" w:afterLines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单元格样式2"/>
    <w:basedOn w:val="1"/>
    <w:qFormat/>
    <w:uiPriority w:val="99"/>
    <w:rPr>
      <w:rFonts w:ascii="方正书宋_GBK" w:hAnsi="方正书宋_GBK" w:eastAsia="方正书宋_GBK" w:cs="方正书宋_GBK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1912</Words>
  <Characters>1964</Characters>
  <Lines>4</Lines>
  <Paragraphs>1</Paragraphs>
  <TotalTime>0</TotalTime>
  <ScaleCrop>false</ScaleCrop>
  <LinksUpToDate>false</LinksUpToDate>
  <CharactersWithSpaces>2007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2026-04-23T09:02:19Z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