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035AB6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 w14:paraId="53FE59D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5F2F442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北王里镇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 w14:paraId="3DEE45B5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771DD5F8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450E629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贯彻落实县委、政府《全面落实预算绩效管理的实施意见》（[2019]77）文件精神，遵循“科学性、规范性、客观性和公正性”的原则，对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北王里镇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2DEEB66D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B71A411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1B73E9B3">
      <w:pPr>
        <w:spacing w:before="163" w:line="226" w:lineRule="auto"/>
        <w:rPr>
          <w:rFonts w:ascii="仿宋" w:hAnsi="仿宋" w:cs="仿宋" w:eastAsiaTheme="minorEastAsia"/>
          <w:sz w:val="31"/>
          <w:szCs w:val="31"/>
        </w:rPr>
      </w:pP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（</w:t>
      </w:r>
      <w:r>
        <w:rPr>
          <w:rFonts w:hint="eastAsia" w:ascii="仿宋" w:hAnsi="仿宋" w:cs="仿宋" w:eastAsiaTheme="minorEastAsia"/>
          <w:b/>
          <w:bCs/>
          <w:spacing w:val="4"/>
          <w:sz w:val="31"/>
          <w:szCs w:val="31"/>
        </w:rPr>
        <w:t>1</w:t>
      </w: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）促进经济发展</w:t>
      </w:r>
    </w:p>
    <w:p w14:paraId="38D43A4F">
      <w:pPr>
        <w:spacing w:before="1" w:line="225" w:lineRule="auto"/>
        <w:ind w:left="2" w:firstLine="465" w:firstLineChars="1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搞好本乡镇产业规划，发展区域特色经济，为农民提供政策、 信息，加强工业经济管理，大力发展第二、第三产业，配合民政、</w:t>
      </w:r>
    </w:p>
    <w:p w14:paraId="65FDD54E">
      <w:pPr>
        <w:spacing w:before="1" w:line="225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农口等部门做好服务工作。</w:t>
      </w:r>
    </w:p>
    <w:p w14:paraId="4F5ADBC8">
      <w:pPr>
        <w:spacing w:before="244" w:line="229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（</w:t>
      </w:r>
      <w:r>
        <w:rPr>
          <w:rFonts w:hint="eastAsia" w:ascii="仿宋" w:hAnsi="仿宋" w:cs="仿宋" w:eastAsiaTheme="minorEastAsia"/>
          <w:b/>
          <w:bCs/>
          <w:spacing w:val="4"/>
          <w:sz w:val="31"/>
          <w:szCs w:val="31"/>
        </w:rPr>
        <w:t>2</w:t>
      </w: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）加强社会管理</w:t>
      </w:r>
    </w:p>
    <w:p w14:paraId="125433FB">
      <w:pPr>
        <w:spacing w:before="1" w:line="225" w:lineRule="auto"/>
        <w:ind w:left="2" w:firstLine="465" w:firstLineChars="1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加强乡村财政资金监督管理，做好人口和计划生育管理工作， 加强农村基层组织建设，加强农村精神文明建设和生态文明村建  设，做好安全生产监督管理工作，做好征兵工作及民兵工作，做</w:t>
      </w:r>
    </w:p>
    <w:p w14:paraId="0A2CA48B">
      <w:pPr>
        <w:spacing w:before="1" w:line="225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好环境保护，完善道路硬化。</w:t>
      </w:r>
    </w:p>
    <w:p w14:paraId="63938B6F">
      <w:pPr>
        <w:spacing w:before="243" w:line="228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（</w:t>
      </w:r>
      <w:r>
        <w:rPr>
          <w:rFonts w:hint="eastAsia" w:ascii="仿宋" w:hAnsi="仿宋" w:cs="仿宋" w:eastAsiaTheme="minorEastAsia"/>
          <w:b/>
          <w:bCs/>
          <w:spacing w:val="4"/>
          <w:sz w:val="31"/>
          <w:szCs w:val="31"/>
        </w:rPr>
        <w:t>3</w:t>
      </w: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）提供公共服务</w:t>
      </w:r>
    </w:p>
    <w:p w14:paraId="5B8B99B4">
      <w:pPr>
        <w:spacing w:before="1" w:line="225" w:lineRule="auto"/>
        <w:ind w:left="2" w:firstLine="456" w:firstLineChars="1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3"/>
          <w:sz w:val="31"/>
          <w:szCs w:val="31"/>
        </w:rPr>
        <w:t>组</w:t>
      </w:r>
      <w:r>
        <w:rPr>
          <w:rFonts w:ascii="仿宋" w:hAnsi="仿宋" w:eastAsia="仿宋" w:cs="仿宋"/>
          <w:sz w:val="31"/>
          <w:szCs w:val="31"/>
        </w:rPr>
        <w:t>织乡村公共基础设施建设，推行和完善新型合作医疗制度， 加强农村食品药品安全监管，做好农村扶贫和低保工作以及特困</w:t>
      </w:r>
    </w:p>
    <w:p w14:paraId="299CBC30">
      <w:pPr>
        <w:spacing w:before="1" w:line="225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户救助和残疾人服务工作，做好社会保障工作。</w:t>
      </w:r>
    </w:p>
    <w:p w14:paraId="1382A193">
      <w:pPr>
        <w:spacing w:before="245" w:line="225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（</w:t>
      </w:r>
      <w:r>
        <w:rPr>
          <w:rFonts w:hint="eastAsia" w:ascii="仿宋" w:hAnsi="仿宋" w:cs="仿宋" w:eastAsiaTheme="minorEastAsia"/>
          <w:b/>
          <w:bCs/>
          <w:spacing w:val="4"/>
          <w:sz w:val="31"/>
          <w:szCs w:val="31"/>
        </w:rPr>
        <w:t>4</w:t>
      </w: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）维护农村稳定</w:t>
      </w:r>
    </w:p>
    <w:p w14:paraId="23240AC5">
      <w:pPr>
        <w:spacing w:before="1" w:line="225" w:lineRule="auto"/>
        <w:ind w:left="2" w:firstLine="465" w:firstLineChars="1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宣传贯彻国家法律法规和政策，打击邪教，排查农村矛盾纠</w:t>
      </w:r>
    </w:p>
    <w:p w14:paraId="0AE528EB">
      <w:pPr>
        <w:spacing w:before="1" w:line="225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纷，处理突发性、群体性事件。</w:t>
      </w:r>
    </w:p>
    <w:tbl>
      <w:tblPr>
        <w:tblStyle w:val="5"/>
        <w:tblW w:w="958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89"/>
        <w:gridCol w:w="3483"/>
        <w:gridCol w:w="2444"/>
        <w:gridCol w:w="2668"/>
      </w:tblGrid>
      <w:tr w14:paraId="4A1E88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989" w:type="dxa"/>
          </w:tcPr>
          <w:p w14:paraId="3A33585C">
            <w:pPr>
              <w:spacing w:line="243" w:lineRule="auto"/>
            </w:pPr>
          </w:p>
          <w:p w14:paraId="7EE8F04F">
            <w:pPr>
              <w:spacing w:before="91" w:line="223" w:lineRule="auto"/>
              <w:ind w:left="22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2"/>
                <w:sz w:val="28"/>
                <w:szCs w:val="28"/>
              </w:rPr>
              <w:t>序号</w:t>
            </w:r>
          </w:p>
        </w:tc>
        <w:tc>
          <w:tcPr>
            <w:tcW w:w="3483" w:type="dxa"/>
          </w:tcPr>
          <w:p w14:paraId="7BFE5C1F">
            <w:pPr>
              <w:spacing w:line="243" w:lineRule="auto"/>
            </w:pPr>
          </w:p>
          <w:p w14:paraId="3C24AB1D">
            <w:pPr>
              <w:spacing w:before="91" w:line="222" w:lineRule="auto"/>
              <w:ind w:left="120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9"/>
                <w:sz w:val="28"/>
                <w:szCs w:val="28"/>
              </w:rPr>
              <w:t>单位名称</w:t>
            </w:r>
          </w:p>
        </w:tc>
        <w:tc>
          <w:tcPr>
            <w:tcW w:w="2444" w:type="dxa"/>
          </w:tcPr>
          <w:p w14:paraId="10681FA7">
            <w:pPr>
              <w:spacing w:line="243" w:lineRule="auto"/>
            </w:pPr>
          </w:p>
          <w:p w14:paraId="4FAC4FEE">
            <w:pPr>
              <w:spacing w:before="91" w:line="221" w:lineRule="auto"/>
              <w:ind w:left="40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单位基本性质</w:t>
            </w:r>
          </w:p>
        </w:tc>
        <w:tc>
          <w:tcPr>
            <w:tcW w:w="2668" w:type="dxa"/>
          </w:tcPr>
          <w:p w14:paraId="4B09FCD2">
            <w:pPr>
              <w:spacing w:line="243" w:lineRule="auto"/>
            </w:pPr>
          </w:p>
          <w:p w14:paraId="34F6933B">
            <w:pPr>
              <w:spacing w:before="91" w:line="224" w:lineRule="auto"/>
              <w:ind w:left="78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7"/>
                <w:sz w:val="28"/>
                <w:szCs w:val="28"/>
              </w:rPr>
              <w:t>经费形式</w:t>
            </w:r>
          </w:p>
        </w:tc>
      </w:tr>
      <w:tr w14:paraId="1D62DB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89" w:type="dxa"/>
          </w:tcPr>
          <w:p w14:paraId="3C95D586">
            <w:pPr>
              <w:spacing w:before="256" w:line="181" w:lineRule="auto"/>
              <w:ind w:left="45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1</w:t>
            </w:r>
          </w:p>
        </w:tc>
        <w:tc>
          <w:tcPr>
            <w:tcW w:w="3483" w:type="dxa"/>
          </w:tcPr>
          <w:p w14:paraId="1850619E">
            <w:pPr>
              <w:spacing w:before="208" w:line="223" w:lineRule="auto"/>
              <w:ind w:left="12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赵县北王里镇人民政府</w:t>
            </w:r>
          </w:p>
        </w:tc>
        <w:tc>
          <w:tcPr>
            <w:tcW w:w="2444" w:type="dxa"/>
          </w:tcPr>
          <w:p w14:paraId="5A35E9B3">
            <w:pPr>
              <w:spacing w:before="207" w:line="222" w:lineRule="auto"/>
              <w:ind w:left="68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行政单位</w:t>
            </w:r>
          </w:p>
        </w:tc>
        <w:tc>
          <w:tcPr>
            <w:tcW w:w="2668" w:type="dxa"/>
          </w:tcPr>
          <w:p w14:paraId="3FE4F29B">
            <w:pPr>
              <w:spacing w:before="207" w:line="224" w:lineRule="auto"/>
              <w:ind w:left="79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财政拨款</w:t>
            </w:r>
          </w:p>
        </w:tc>
      </w:tr>
    </w:tbl>
    <w:p w14:paraId="13DB6FEB">
      <w:pPr>
        <w:spacing w:before="1" w:line="225" w:lineRule="auto"/>
        <w:ind w:left="2"/>
        <w:rPr>
          <w:rFonts w:hint="eastAsia" w:ascii="仿宋" w:hAnsi="仿宋" w:eastAsia="仿宋" w:cs="仿宋"/>
          <w:sz w:val="31"/>
          <w:szCs w:val="31"/>
        </w:rPr>
      </w:pPr>
    </w:p>
    <w:p w14:paraId="6BBFC1FB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20848E67">
      <w:pPr>
        <w:spacing w:before="1" w:line="225" w:lineRule="auto"/>
        <w:ind w:left="2" w:firstLine="620" w:firstLineChars="200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z w:val="31"/>
          <w:szCs w:val="31"/>
        </w:rPr>
        <w:t>反映本部门当年全部收入。202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5</w:t>
      </w:r>
      <w:r>
        <w:rPr>
          <w:rFonts w:hint="eastAsia" w:ascii="仿宋" w:hAnsi="仿宋" w:eastAsia="仿宋" w:cs="仿宋"/>
          <w:sz w:val="31"/>
          <w:szCs w:val="31"/>
        </w:rPr>
        <w:t>年预算收入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1387.672994</w:t>
      </w:r>
      <w:r>
        <w:rPr>
          <w:rFonts w:hint="eastAsia" w:ascii="仿宋" w:hAnsi="仿宋" w:eastAsia="仿宋" w:cs="仿宋"/>
          <w:sz w:val="31"/>
          <w:szCs w:val="31"/>
        </w:rPr>
        <w:t>万元，其中一般公共预算为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1281.342313</w:t>
      </w:r>
      <w:r>
        <w:rPr>
          <w:rFonts w:hint="eastAsia" w:ascii="仿宋" w:hAnsi="仿宋" w:eastAsia="仿宋" w:cs="仿宋"/>
          <w:sz w:val="31"/>
          <w:szCs w:val="31"/>
        </w:rPr>
        <w:t>万元，政府性基金为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106.330681</w:t>
      </w:r>
      <w:r>
        <w:rPr>
          <w:rFonts w:hint="eastAsia" w:ascii="仿宋" w:hAnsi="仿宋" w:eastAsia="仿宋" w:cs="仿宋"/>
          <w:sz w:val="31"/>
          <w:szCs w:val="31"/>
        </w:rPr>
        <w:t>万元。</w:t>
      </w:r>
    </w:p>
    <w:p w14:paraId="59A663F6">
      <w:pPr>
        <w:spacing w:before="1" w:line="225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z w:val="31"/>
          <w:szCs w:val="31"/>
        </w:rPr>
        <w:t>2、支出说明</w:t>
      </w:r>
    </w:p>
    <w:p w14:paraId="595ADB04">
      <w:pPr>
        <w:spacing w:before="1" w:line="225" w:lineRule="auto"/>
        <w:ind w:left="2" w:firstLine="62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"/>
          <w:sz w:val="31"/>
          <w:szCs w:val="31"/>
        </w:rPr>
        <w:t>收支预算总表支出栏、基本支出表、项目支出表按经济分类</w:t>
      </w:r>
      <w:r>
        <w:rPr>
          <w:rFonts w:hint="eastAsia" w:ascii="仿宋" w:hAnsi="仿宋" w:eastAsia="仿宋" w:cs="仿宋_GB2312"/>
          <w:sz w:val="32"/>
          <w:szCs w:val="32"/>
        </w:rPr>
        <w:t>和支出功能分类科目编制，反映我单位202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_GB2312"/>
          <w:sz w:val="32"/>
          <w:szCs w:val="32"/>
        </w:rPr>
        <w:t>年度部门预算中支出预算的总体情况。202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_GB2312"/>
          <w:sz w:val="32"/>
          <w:szCs w:val="32"/>
        </w:rPr>
        <w:t>年支出预算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1387.672994</w:t>
      </w:r>
      <w:r>
        <w:rPr>
          <w:rFonts w:hint="eastAsia" w:ascii="仿宋" w:hAnsi="仿宋" w:eastAsia="仿宋" w:cs="仿宋_GB2312"/>
          <w:sz w:val="32"/>
          <w:szCs w:val="32"/>
        </w:rPr>
        <w:t>万元，其中基本支出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743.117813</w:t>
      </w:r>
      <w:r>
        <w:rPr>
          <w:rFonts w:hint="eastAsia" w:ascii="仿宋" w:hAnsi="仿宋" w:eastAsia="仿宋" w:cs="仿宋_GB2312"/>
          <w:sz w:val="32"/>
          <w:szCs w:val="32"/>
        </w:rPr>
        <w:t>万元，包括人员经费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630.90256</w:t>
      </w:r>
      <w:r>
        <w:rPr>
          <w:rFonts w:hint="eastAsia" w:ascii="仿宋" w:hAnsi="仿宋" w:eastAsia="仿宋" w:cs="仿宋_GB2312"/>
          <w:sz w:val="32"/>
          <w:szCs w:val="32"/>
        </w:rPr>
        <w:t>万元和日常公用经费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112.215253</w:t>
      </w:r>
      <w:r>
        <w:rPr>
          <w:rFonts w:hint="eastAsia" w:ascii="仿宋" w:hAnsi="仿宋" w:eastAsia="仿宋" w:cs="仿宋_GB2312"/>
          <w:sz w:val="32"/>
          <w:szCs w:val="32"/>
        </w:rPr>
        <w:t>万元；项目支出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644.555181</w:t>
      </w:r>
      <w:r>
        <w:rPr>
          <w:rFonts w:hint="eastAsia" w:ascii="仿宋" w:hAnsi="仿宋" w:eastAsia="仿宋" w:cs="仿宋_GB2312"/>
          <w:sz w:val="32"/>
          <w:szCs w:val="32"/>
        </w:rPr>
        <w:t>万元。</w:t>
      </w:r>
    </w:p>
    <w:p w14:paraId="16076973"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楷体" w:hAnsi="楷体" w:eastAsia="楷体" w:cs="楷体_GB2312"/>
          <w:bCs/>
          <w:sz w:val="32"/>
          <w:szCs w:val="32"/>
        </w:rPr>
      </w:pPr>
    </w:p>
    <w:p w14:paraId="68F91014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0168D39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参照部门预算绩效文本中绩效目标、指标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.</w:t>
      </w:r>
    </w:p>
    <w:p w14:paraId="076B2619">
      <w:pPr>
        <w:ind w:firstLine="640" w:firstLineChars="200"/>
        <w:rPr>
          <w:rFonts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202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宋体"/>
          <w:sz w:val="32"/>
          <w:szCs w:val="32"/>
        </w:rPr>
        <w:t>年项目主要为：人大代表活动经费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、武装工作专项经费、服务群众专项（党报党刊征订费）、公益项目绿化道路占地补偿、乡村振兴（人居环境整治）、北王里镇西正村人居环境整治提升项目（二次）、型煤炉具补贴资金（多康）</w:t>
      </w:r>
      <w:r>
        <w:rPr>
          <w:rFonts w:hint="eastAsia" w:ascii="仿宋" w:hAnsi="仿宋" w:eastAsia="仿宋" w:cs="宋体"/>
          <w:sz w:val="32"/>
          <w:szCs w:val="32"/>
        </w:rPr>
        <w:t>等。</w:t>
      </w:r>
    </w:p>
    <w:p w14:paraId="35B64E31">
      <w:pPr>
        <w:ind w:firstLine="640" w:firstLineChars="200"/>
        <w:rPr>
          <w:rFonts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根据预算绩效管理要求，我单位组织对202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宋体"/>
          <w:sz w:val="32"/>
          <w:szCs w:val="32"/>
        </w:rPr>
        <w:t>年度一般公共预算项目支出全面开展绩效自评。从评价情况来看，我单位根据职能职责和上级要求，紧紧围绕目标任务，扎实有序推进各项工作，较好地完成了全年各项工作任务。</w:t>
      </w:r>
    </w:p>
    <w:p w14:paraId="448CD477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49B53D04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2C730708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69991A1D">
      <w:pPr>
        <w:ind w:firstLine="640" w:firstLineChars="200"/>
        <w:rPr>
          <w:rFonts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hint="eastAsia" w:ascii="仿宋" w:hAnsi="仿宋" w:eastAsia="仿宋" w:cs="宋体"/>
          <w:sz w:val="32"/>
          <w:szCs w:val="32"/>
        </w:rPr>
        <w:t>我单位绩效管理工作在镇政府的正确领导下，把绩效自评工作作为检验服务发展、服务基层、服务群众的主要标尺，加强组织管理，强化责任落实，扎实推进，确保绩效自评工作取得实效。</w:t>
      </w:r>
    </w:p>
    <w:p w14:paraId="1A8D758D">
      <w:pPr>
        <w:spacing w:line="600" w:lineRule="exact"/>
        <w:ind w:firstLine="640" w:firstLineChars="200"/>
        <w:rPr>
          <w:rFonts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为确保项目顺利实施，北王里镇制定了项目实施计划，确定组织机构与人员分工、要求时间进度安排、质量保障措施等方面，明确项目整体上有序安排实施。成立了工作领导小组，由镇长尹娜敏任组长，办公室主任及财政所长为成员，具体负责绩效自评工作。</w:t>
      </w:r>
    </w:p>
    <w:p w14:paraId="1E1AC7DA">
      <w:pPr>
        <w:ind w:firstLine="640" w:firstLineChars="200"/>
        <w:rPr>
          <w:rFonts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为确保该项工作取得实效，我单位高度重视，认真落实绩效自评工作。财政资金监督管理、统计、审计、人口及计划生育工作，推进农村民主政治建设和村民自治，加强农村基层组织建设及农村精神文明、生态村文明建设，安全生产监督管理，配合武装部征兵工作、环保部门环境无卫生、完成镇村财务监督管理、统计、审计、计划生育工作、完成民主政治建设，实现公民选举、决策、方面创造条件，完成征兵、环境保护工作。</w:t>
      </w:r>
    </w:p>
    <w:p w14:paraId="55484E18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092A73A1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1FE49E87">
      <w:pPr>
        <w:ind w:firstLine="640" w:firstLineChars="200"/>
        <w:rPr>
          <w:rFonts w:ascii="仿宋" w:hAnsi="仿宋" w:eastAsia="仿宋" w:cs="宋体"/>
          <w:sz w:val="32"/>
          <w:szCs w:val="32"/>
        </w:rPr>
      </w:pPr>
      <w:r>
        <w:rPr>
          <w:rFonts w:ascii="仿宋" w:hAnsi="仿宋" w:eastAsia="仿宋" w:cs="宋体"/>
          <w:sz w:val="32"/>
          <w:szCs w:val="32"/>
        </w:rPr>
        <w:t>1</w:t>
      </w:r>
      <w:r>
        <w:rPr>
          <w:rFonts w:hint="eastAsia" w:ascii="仿宋" w:hAnsi="仿宋" w:eastAsia="仿宋" w:cs="宋体"/>
          <w:sz w:val="32"/>
          <w:szCs w:val="32"/>
        </w:rPr>
        <w:t>、严格预算支出管理。在支出预算编制上，人员编制按照配置定额，逐人核定编制，公用经费分类分档，按定额编制；根据“总量控制、计划管理”的要求从严控制行政经费，压缩公务费支出，严格控制“三公经费”资产的配置，严格政府采购，按照预算科目和项目资金的规定使用财政资金，报账单位整体支出体现了规范化、制度化。</w:t>
      </w:r>
    </w:p>
    <w:p w14:paraId="2F6C1945">
      <w:pPr>
        <w:ind w:firstLine="640" w:firstLineChars="200"/>
        <w:rPr>
          <w:rFonts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2.财务管理上，按照国家相关法律法规，制定了机关财务、接待、会议等管理制度，并严格按照制度管理和执行，防范风险，保证财政资金的安全和高效运行。</w:t>
      </w:r>
    </w:p>
    <w:p w14:paraId="370B33DE">
      <w:pPr>
        <w:ind w:firstLine="640" w:firstLineChars="200"/>
        <w:rPr>
          <w:rFonts w:ascii="仿宋" w:hAnsi="仿宋" w:eastAsia="仿宋" w:cs="宋体"/>
          <w:sz w:val="32"/>
          <w:szCs w:val="32"/>
        </w:rPr>
      </w:pPr>
      <w:r>
        <w:rPr>
          <w:rFonts w:ascii="仿宋" w:hAnsi="仿宋" w:eastAsia="仿宋" w:cs="宋体"/>
          <w:sz w:val="32"/>
          <w:szCs w:val="32"/>
        </w:rPr>
        <w:t>3.</w:t>
      </w:r>
      <w:r>
        <w:rPr>
          <w:rFonts w:hint="eastAsia" w:ascii="仿宋" w:hAnsi="仿宋" w:eastAsia="仿宋" w:cs="宋体"/>
          <w:sz w:val="32"/>
          <w:szCs w:val="32"/>
        </w:rPr>
        <w:t>严格按照审计部门意见，团县委健全完善内部审计制度，采取有效措施，在现有机构编制架构的基础上，确定一个内设非财务部门以明确职责的方式承担内部审计工作职责，配备与工作量相匹配的除财务意外的专职内部审计人员。</w:t>
      </w:r>
    </w:p>
    <w:p w14:paraId="002341FE">
      <w:pPr>
        <w:numPr>
          <w:ilvl w:val="0"/>
          <w:numId w:val="0"/>
        </w:numPr>
        <w:spacing w:line="560" w:lineRule="exact"/>
        <w:ind w:left="642" w:leftChars="0"/>
        <w:rPr>
          <w:rFonts w:ascii="楷体" w:hAnsi="楷体" w:eastAsia="楷体" w:cs="楷体_GB2312"/>
          <w:bCs/>
          <w:sz w:val="32"/>
          <w:szCs w:val="32"/>
        </w:rPr>
      </w:pPr>
    </w:p>
    <w:p w14:paraId="5369334A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71B4EFEA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02951FF3">
      <w:pPr>
        <w:spacing w:line="560" w:lineRule="exact"/>
        <w:rPr>
          <w:rFonts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按照镇政府党组会议制定的202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楷体_GB2312"/>
          <w:bCs/>
          <w:sz w:val="32"/>
          <w:szCs w:val="32"/>
        </w:rPr>
        <w:t>年工作部署和要求，紧紧围绕中心、服务大局，强化管理、综合协调，积极履职，较好的完成了年度工作目标。通过加强单位内部预算收支的管理，不断建立健全内部管理制度，严格内部管理流程，部门整体支出管理情况得到了提升。</w:t>
      </w:r>
      <w:r>
        <w:rPr>
          <w:rFonts w:ascii="仿宋" w:hAnsi="仿宋" w:eastAsia="仿宋" w:cs="楷体_GB2312"/>
          <w:bCs/>
          <w:sz w:val="32"/>
          <w:szCs w:val="32"/>
        </w:rPr>
        <w:t xml:space="preserve"> </w:t>
      </w:r>
    </w:p>
    <w:p w14:paraId="50213C9C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27D2574B">
      <w:p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（1）经济性评价</w:t>
      </w:r>
    </w:p>
    <w:p w14:paraId="07378141">
      <w:pPr>
        <w:spacing w:line="560" w:lineRule="exact"/>
        <w:ind w:firstLine="640" w:firstLineChars="200"/>
        <w:rPr>
          <w:rFonts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本年预算配置控制较好，三公经费变动率为</w:t>
      </w:r>
      <w:r>
        <w:rPr>
          <w:rFonts w:ascii="仿宋" w:hAnsi="仿宋" w:eastAsia="仿宋" w:cs="楷体_GB2312"/>
          <w:bCs/>
          <w:sz w:val="32"/>
          <w:szCs w:val="32"/>
        </w:rPr>
        <w:t>0</w:t>
      </w:r>
      <w:r>
        <w:rPr>
          <w:rFonts w:hint="eastAsia" w:ascii="仿宋" w:hAnsi="仿宋" w:eastAsia="仿宋" w:cs="楷体_GB2312"/>
          <w:bCs/>
          <w:sz w:val="32"/>
          <w:szCs w:val="32"/>
        </w:rPr>
        <w:t>。在预算执行方面，全年支出总额控制在预算总额以内，制度执行总体较为有效。</w:t>
      </w:r>
    </w:p>
    <w:p w14:paraId="0B2B4355">
      <w:p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（2）产出效率性评价</w:t>
      </w:r>
    </w:p>
    <w:p w14:paraId="4DE765E7">
      <w:pPr>
        <w:pStyle w:val="7"/>
        <w:ind w:firstLine="480" w:firstLineChars="150"/>
        <w:rPr>
          <w:rFonts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1.各级部门建设规范化程度显著提高</w:t>
      </w:r>
    </w:p>
    <w:p w14:paraId="6FE282E2">
      <w:pPr>
        <w:pStyle w:val="2"/>
        <w:ind w:firstLine="480" w:firstLineChars="150"/>
        <w:rPr>
          <w:rFonts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2.各类思想道德宣传教育系列活动圆满完成</w:t>
      </w:r>
    </w:p>
    <w:p w14:paraId="77F53E09">
      <w:pPr>
        <w:spacing w:line="56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" w:hAnsi="楷体" w:eastAsia="楷体" w:cs="楷体_GB2312"/>
          <w:bCs/>
          <w:sz w:val="32"/>
          <w:szCs w:val="32"/>
        </w:rPr>
        <w:t>3）服务满意度方面</w:t>
      </w:r>
    </w:p>
    <w:p w14:paraId="726D3D82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服务对象的满意度</w:t>
      </w:r>
      <w:r>
        <w:rPr>
          <w:rFonts w:ascii="仿宋" w:hAnsi="仿宋" w:eastAsia="仿宋" w:cs="楷体_GB2312"/>
          <w:bCs/>
          <w:sz w:val="32"/>
          <w:szCs w:val="32"/>
        </w:rPr>
        <w:t>,</w:t>
      </w:r>
      <w:r>
        <w:rPr>
          <w:rFonts w:hint="eastAsia" w:ascii="仿宋" w:hAnsi="仿宋" w:eastAsia="仿宋" w:cs="楷体_GB2312"/>
          <w:bCs/>
          <w:sz w:val="32"/>
          <w:szCs w:val="32"/>
        </w:rPr>
        <w:t>是绩效考核的根本尺度、最后标准。根据《预算项目绩效目标》，本着实事求事的原则，我们对</w:t>
      </w:r>
      <w:r>
        <w:rPr>
          <w:rFonts w:ascii="仿宋" w:hAnsi="仿宋" w:eastAsia="仿宋" w:cs="楷体_GB2312"/>
          <w:bCs/>
          <w:sz w:val="32"/>
          <w:szCs w:val="32"/>
        </w:rPr>
        <w:t>20</w:t>
      </w:r>
      <w:r>
        <w:rPr>
          <w:rFonts w:hint="eastAsia" w:ascii="仿宋" w:hAnsi="仿宋" w:eastAsia="仿宋" w:cs="楷体_GB2312"/>
          <w:bCs/>
          <w:sz w:val="32"/>
          <w:szCs w:val="32"/>
        </w:rPr>
        <w:t>2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楷体_GB2312"/>
          <w:bCs/>
          <w:sz w:val="32"/>
          <w:szCs w:val="32"/>
        </w:rPr>
        <w:t>年团县委工作支出进行了客观的评价，自评为：优秀。</w:t>
      </w:r>
    </w:p>
    <w:p w14:paraId="429C6277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1B9E5BC7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设置总体目标和具体绩效指标时，牢牢把握关联性、可控性、可实施性，精准性，可衡量和低成本的原则，根据不同预算特点设置相对应绩效目标。由于绩效目标管理经验不足，导致预算绩效目标设置和绩效指标编制水平有待进一步提高。</w:t>
      </w:r>
    </w:p>
    <w:p w14:paraId="79BBF98F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1.部分绩效指标设置不易量化，只能用定型方法考核，造成评分具有一定主观性；</w:t>
      </w:r>
    </w:p>
    <w:p w14:paraId="60881C59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2.部分项目内容有重叠情况，导致绩效目标不能明确体现项目各自特点。</w:t>
      </w:r>
    </w:p>
    <w:p w14:paraId="728DF9EF">
      <w:pPr>
        <w:spacing w:line="560" w:lineRule="exact"/>
        <w:ind w:firstLine="640" w:firstLineChars="200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经自评，评价得分均在85分以上，较好的完成202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年度工作目标，还有待进一步改进、完善。综合评价等级为“优秀”。</w:t>
      </w:r>
    </w:p>
    <w:p w14:paraId="0555D96F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2A757F9E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4BA41D3C">
      <w:pPr>
        <w:spacing w:line="560" w:lineRule="exact"/>
        <w:ind w:firstLine="640" w:firstLineChars="200"/>
        <w:rPr>
          <w:rFonts w:hint="default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无</w:t>
      </w:r>
    </w:p>
    <w:p w14:paraId="0BC76C38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4C86A498">
      <w:pPr>
        <w:ind w:firstLine="640" w:firstLineChars="200"/>
        <w:rPr>
          <w:rFonts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下一步</w:t>
      </w:r>
      <w:r>
        <w:rPr>
          <w:rFonts w:hint="eastAsia" w:ascii="仿宋" w:hAnsi="仿宋" w:eastAsia="仿宋" w:cs="仿宋"/>
          <w:sz w:val="32"/>
          <w:szCs w:val="32"/>
        </w:rPr>
        <w:t>我镇认真做好了日常财务报销、工资及各项补贴的发放。处理好日常会计等基础工作。我单位年初制定了各科室的财务支出预算工作。年底编制各部门财务决算并及时将各项业务定期与银行进行对账。财政所制定了内部会计账务处理规章制度及管理工作办法，加强财务内部管理，对各项经济业务手续的审核认真细致，严格把关，并能够及时与单位预算对比，对不合理的开支拒绝办理。加强和完善国有资产管理。对新增及报废固定资产进行明细登记。对会计资料进行了整理，将相关会计档案进行了整理入档，使会计工作向标准化，规范化更进一步。</w:t>
      </w:r>
    </w:p>
    <w:p w14:paraId="4F538748">
      <w:pPr>
        <w:numPr>
          <w:ilvl w:val="0"/>
          <w:numId w:val="0"/>
        </w:numPr>
        <w:spacing w:line="560" w:lineRule="exact"/>
        <w:ind w:leftChars="200"/>
        <w:rPr>
          <w:rFonts w:hint="eastAsia" w:ascii="楷体" w:hAnsi="楷体" w:eastAsia="楷体"/>
          <w:bCs/>
          <w:sz w:val="32"/>
          <w:szCs w:val="32"/>
        </w:rPr>
      </w:pPr>
    </w:p>
    <w:p w14:paraId="5A62F49A">
      <w:pPr>
        <w:numPr>
          <w:ilvl w:val="0"/>
          <w:numId w:val="4"/>
        </w:num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评价工作组人员名单及签字（姓名、工作单位）</w:t>
      </w:r>
    </w:p>
    <w:p w14:paraId="6015362A">
      <w:pPr>
        <w:spacing w:line="560" w:lineRule="exact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领导小组组长:             镇长</w:t>
      </w:r>
    </w:p>
    <w:p w14:paraId="55843198">
      <w:pPr>
        <w:spacing w:line="560" w:lineRule="exact"/>
        <w:ind w:firstLine="42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小组成员：            办公室主任</w:t>
      </w:r>
    </w:p>
    <w:p w14:paraId="476B77BC">
      <w:pPr>
        <w:spacing w:line="560" w:lineRule="exact"/>
        <w:rPr>
          <w:rFonts w:ascii="仿宋" w:hAnsi="仿宋" w:eastAsia="仿宋"/>
        </w:rPr>
      </w:pPr>
      <w:r>
        <w:rPr>
          <w:rFonts w:hint="eastAsia" w:ascii="仿宋" w:hAnsi="仿宋" w:eastAsia="仿宋"/>
        </w:rPr>
        <w:t xml:space="preserve">                          财政所长</w:t>
      </w:r>
      <w:bookmarkStart w:id="0" w:name="_GoBack"/>
      <w:bookmarkEnd w:id="0"/>
    </w:p>
    <w:p w14:paraId="1FA9A88D">
      <w:pPr>
        <w:spacing w:line="560" w:lineRule="exact"/>
        <w:rPr>
          <w:rFonts w:ascii="仿宋" w:hAnsi="仿宋" w:eastAsia="仿宋"/>
        </w:rPr>
      </w:pPr>
    </w:p>
    <w:p w14:paraId="6A57ADD8"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黑体" w:hAnsi="黑体" w:eastAsia="黑体"/>
          <w:sz w:val="32"/>
          <w:szCs w:val="32"/>
        </w:rPr>
      </w:pPr>
    </w:p>
    <w:p w14:paraId="14D5357C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书宋_GBK">
    <w:altName w:val="微软雅黑"/>
    <w:panose1 w:val="00000000000000000000"/>
    <w:charset w:val="86"/>
    <w:family w:val="roman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KSOF4C539D17">
    <w:panose1 w:val="020B0503020204020204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AB6039">
    <w:pPr>
      <w:pStyle w:val="3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2CB7D025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74DFD23"/>
    <w:multiLevelType w:val="singleLevel"/>
    <w:tmpl w:val="D74DFD23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3">
    <w:nsid w:val="729E0D2C"/>
    <w:multiLevelType w:val="singleLevel"/>
    <w:tmpl w:val="729E0D2C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2C1006"/>
    <w:rsid w:val="007E6C1F"/>
    <w:rsid w:val="00956A93"/>
    <w:rsid w:val="009D11C5"/>
    <w:rsid w:val="009E575C"/>
    <w:rsid w:val="00AB45AC"/>
    <w:rsid w:val="00AF167E"/>
    <w:rsid w:val="00AF566A"/>
    <w:rsid w:val="00B478EA"/>
    <w:rsid w:val="00B6553A"/>
    <w:rsid w:val="00BC6576"/>
    <w:rsid w:val="00C968D1"/>
    <w:rsid w:val="00CE06BA"/>
    <w:rsid w:val="00F441CC"/>
    <w:rsid w:val="00F75EFB"/>
    <w:rsid w:val="01B104CA"/>
    <w:rsid w:val="02106AB0"/>
    <w:rsid w:val="02B43A28"/>
    <w:rsid w:val="046F331E"/>
    <w:rsid w:val="078538D1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1D491BD5"/>
    <w:rsid w:val="248C197D"/>
    <w:rsid w:val="252959AF"/>
    <w:rsid w:val="277A6671"/>
    <w:rsid w:val="281A529E"/>
    <w:rsid w:val="292D35B7"/>
    <w:rsid w:val="33EB6CFF"/>
    <w:rsid w:val="35A12947"/>
    <w:rsid w:val="37387040"/>
    <w:rsid w:val="3A7C2BAF"/>
    <w:rsid w:val="3B625C0A"/>
    <w:rsid w:val="3CEE1963"/>
    <w:rsid w:val="436B78D3"/>
    <w:rsid w:val="4C9C27FE"/>
    <w:rsid w:val="4F664485"/>
    <w:rsid w:val="507E3D7F"/>
    <w:rsid w:val="512260B4"/>
    <w:rsid w:val="52BD6ACB"/>
    <w:rsid w:val="55537534"/>
    <w:rsid w:val="561A74F1"/>
    <w:rsid w:val="582771A3"/>
    <w:rsid w:val="597244E8"/>
    <w:rsid w:val="5EB71C30"/>
    <w:rsid w:val="66AF0CE5"/>
    <w:rsid w:val="6AC537CF"/>
    <w:rsid w:val="6E5B14A6"/>
    <w:rsid w:val="711B255E"/>
    <w:rsid w:val="78120AD5"/>
    <w:rsid w:val="7BB51E06"/>
    <w:rsid w:val="7C387F7C"/>
    <w:rsid w:val="7F3C0271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  <w:rPr>
      <w:rFonts w:asciiTheme="minorHAnsi" w:hAnsiTheme="minorHAnsi" w:eastAsiaTheme="minorEastAsia" w:cstheme="minorBidi"/>
      <w:szCs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7">
    <w:name w:val="单元格样式2"/>
    <w:basedOn w:val="1"/>
    <w:autoRedefine/>
    <w:qFormat/>
    <w:uiPriority w:val="99"/>
    <w:rPr>
      <w:rFonts w:ascii="方正书宋_GBK" w:hAnsi="方正书宋_GBK" w:eastAsia="方正书宋_GBK" w:cs="方正书宋_GBK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2654</Words>
  <Characters>2772</Characters>
  <Lines>4</Lines>
  <Paragraphs>1</Paragraphs>
  <TotalTime>2</TotalTime>
  <ScaleCrop>false</ScaleCrop>
  <LinksUpToDate>false</LinksUpToDate>
  <CharactersWithSpaces>2848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%E6%91%98%E6%98%9F%E7%9A%84%E4%BD%A0%E3%</cp:lastModifiedBy>
  <cp:lastPrinted>2024-03-06T07:40:00Z</cp:lastPrinted>
  <dcterms:modified xsi:type="dcterms:W3CDTF">2026-04-17T02:32:10Z</dcterms:modified>
  <dc:title>附件3：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eyJoZGlkIjoiZTI4ODdlMjI5NDI4MjRlMWU2MmZiZWZkZDI4YjNiNzMiLCJ1c2VySWQiOiIzOTExMjg3MDIifQ==</vt:lpwstr>
  </property>
</Properties>
</file>