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0131DD">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362CCD1F">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赵县县委巡察办</w:t>
      </w:r>
    </w:p>
    <w:p w14:paraId="4A4157A7">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AA86C7A">
      <w:pPr>
        <w:spacing w:line="560" w:lineRule="exact"/>
        <w:jc w:val="center"/>
        <w:rPr>
          <w:rFonts w:ascii="华文楷体" w:eastAsia="华文楷体"/>
          <w:sz w:val="32"/>
          <w:szCs w:val="32"/>
        </w:rPr>
      </w:pPr>
    </w:p>
    <w:p w14:paraId="72DB99F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贯彻落实县委、县政府《全面落实预算绩效管理的实施意见》（[2019]77）文件精神，遵循“科学性、规范性、客观性和公正性”的原则，对</w:t>
      </w:r>
      <w:r>
        <w:rPr>
          <w:rFonts w:hint="eastAsia" w:ascii="仿宋" w:hAnsi="仿宋" w:eastAsia="仿宋"/>
          <w:sz w:val="32"/>
          <w:szCs w:val="32"/>
          <w:lang w:val="en-US" w:eastAsia="zh-CN"/>
        </w:rPr>
        <w:t>赵县巡察办</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w:t>
      </w:r>
      <w:bookmarkStart w:id="0" w:name="_GoBack"/>
      <w:bookmarkEnd w:id="0"/>
      <w:r>
        <w:rPr>
          <w:rFonts w:hint="eastAsia" w:ascii="仿宋" w:hAnsi="仿宋" w:eastAsia="仿宋"/>
          <w:sz w:val="32"/>
          <w:szCs w:val="32"/>
        </w:rPr>
        <w:t>成本评价报告。</w:t>
      </w:r>
    </w:p>
    <w:p w14:paraId="3E49AB3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59F4B5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450747D">
      <w:pPr>
        <w:pStyle w:val="6"/>
        <w:ind w:left="420" w:leftChars="200" w:firstLine="480" w:firstLineChars="150"/>
        <w:rPr>
          <w:rFonts w:hint="eastAsia" w:ascii="仿宋" w:hAnsi="仿宋" w:eastAsia="仿宋" w:cs="仿宋"/>
          <w:sz w:val="32"/>
          <w:szCs w:val="32"/>
        </w:rPr>
      </w:pPr>
      <w:r>
        <w:rPr>
          <w:rFonts w:hint="eastAsia" w:ascii="仿宋" w:hAnsi="仿宋" w:eastAsia="仿宋" w:cs="仿宋"/>
          <w:sz w:val="32"/>
          <w:szCs w:val="32"/>
        </w:rPr>
        <w:t>1、贯彻落实党中央、省委、市委、县委和县委巡察工作领导小组办公室和县委巡察工作领导小组报告工作情况。2、统筹、协调、指导开展巡察工作。3、承担政策研究、制度建设等工作。4、对县委、县委巡察工作领导小组决定的事项进行督办，会同县委巡察组对巡察整改工作进行专项检查。5、配合有关部门对巡察工作人员进行培训、考核、监督和管理。6、完成市委巡察办和县委巡察办交办的其他任务。</w:t>
      </w:r>
    </w:p>
    <w:p w14:paraId="0A9B74A7">
      <w:pPr>
        <w:adjustRightInd w:val="0"/>
        <w:snapToGrid w:val="0"/>
        <w:spacing w:line="560" w:lineRule="exact"/>
        <w:ind w:left="638" w:leftChars="304" w:firstLine="0" w:firstLineChars="0"/>
        <w:rPr>
          <w:rFonts w:hint="eastAsia" w:ascii="仿宋" w:hAnsi="仿宋" w:eastAsia="仿宋"/>
          <w:sz w:val="32"/>
          <w:szCs w:val="32"/>
          <w:lang w:val="en-US" w:eastAsia="zh-CN"/>
        </w:rPr>
      </w:pPr>
      <w:r>
        <w:rPr>
          <w:rFonts w:hint="eastAsia" w:ascii="仿宋" w:hAnsi="仿宋" w:eastAsia="仿宋"/>
          <w:sz w:val="32"/>
          <w:szCs w:val="32"/>
          <w:lang w:val="en-US" w:eastAsia="zh-CN"/>
        </w:rPr>
        <w:t>（二）部门机构设置情况</w:t>
      </w:r>
    </w:p>
    <w:p w14:paraId="7402DE1E">
      <w:pPr>
        <w:adjustRightInd w:val="0"/>
        <w:snapToGrid w:val="0"/>
        <w:spacing w:line="560" w:lineRule="exact"/>
        <w:ind w:left="638" w:leftChars="304"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单位性质为行政；规格为正科级；经费保障形式为财政拨款。</w:t>
      </w:r>
    </w:p>
    <w:p w14:paraId="3436A34D">
      <w:pPr>
        <w:numPr>
          <w:ilvl w:val="0"/>
          <w:numId w:val="1"/>
        </w:numPr>
        <w:adjustRightInd w:val="0"/>
        <w:snapToGrid w:val="0"/>
        <w:spacing w:line="560" w:lineRule="exact"/>
        <w:ind w:left="638" w:leftChars="304" w:firstLine="0" w:firstLineChars="0"/>
        <w:rPr>
          <w:rFonts w:hint="eastAsia" w:ascii="仿宋" w:hAnsi="仿宋" w:eastAsia="仿宋"/>
          <w:sz w:val="32"/>
          <w:szCs w:val="32"/>
          <w:lang w:val="en-US" w:eastAsia="zh-CN"/>
        </w:rPr>
      </w:pPr>
      <w:r>
        <w:rPr>
          <w:rFonts w:hint="eastAsia" w:ascii="仿宋" w:hAnsi="仿宋" w:eastAsia="仿宋"/>
          <w:sz w:val="32"/>
          <w:szCs w:val="32"/>
          <w:lang w:val="en-US" w:eastAsia="zh-CN"/>
        </w:rPr>
        <w:t>资产情况</w:t>
      </w:r>
    </w:p>
    <w:p w14:paraId="6575CA4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截止2025年12月31日，单位固定资产占用57.91万元。其中：车辆9.03万元，其他固定资产48.88万元。</w:t>
      </w:r>
    </w:p>
    <w:p w14:paraId="39083062">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D0818E1">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年度财政拨款本年收入</w:t>
      </w:r>
      <w:r>
        <w:rPr>
          <w:rFonts w:hint="eastAsia" w:ascii="仿宋_GB2312" w:hAnsi="Times New Roman" w:eastAsia="仿宋_GB2312" w:cs="DengXian-Regular"/>
          <w:sz w:val="32"/>
          <w:szCs w:val="32"/>
          <w:lang w:val="en-US" w:eastAsia="zh-CN"/>
        </w:rPr>
        <w:t>302.09</w:t>
      </w:r>
      <w:r>
        <w:rPr>
          <w:rFonts w:hint="eastAsia" w:ascii="仿宋_GB2312" w:hAnsi="Times New Roman" w:eastAsia="仿宋_GB2312" w:cs="DengXian-Regular"/>
          <w:sz w:val="32"/>
          <w:szCs w:val="32"/>
        </w:rPr>
        <w:t>万元，比年初预算增加</w:t>
      </w:r>
      <w:r>
        <w:rPr>
          <w:rFonts w:hint="eastAsia" w:ascii="仿宋_GB2312" w:hAnsi="Times New Roman" w:eastAsia="仿宋_GB2312" w:cs="DengXian-Regular"/>
          <w:sz w:val="32"/>
          <w:szCs w:val="32"/>
          <w:lang w:val="en-US" w:eastAsia="zh-CN"/>
        </w:rPr>
        <w:t>3.78</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val="en-US" w:eastAsia="zh-CN"/>
        </w:rPr>
        <w:t>大于</w:t>
      </w:r>
      <w:r>
        <w:rPr>
          <w:rFonts w:hint="eastAsia" w:ascii="仿宋_GB2312" w:hAnsi="Times New Roman" w:eastAsia="仿宋_GB2312" w:cs="DengXian-Regular"/>
          <w:sz w:val="32"/>
          <w:szCs w:val="32"/>
        </w:rPr>
        <w:t>预算数主要原因是</w:t>
      </w:r>
      <w:r>
        <w:rPr>
          <w:rFonts w:hint="eastAsia" w:ascii="仿宋_GB2312" w:hAnsi="Times New Roman" w:eastAsia="仿宋_GB2312" w:cs="DengXian-Regular"/>
          <w:sz w:val="32"/>
          <w:szCs w:val="32"/>
          <w:lang w:val="en-US" w:eastAsia="zh-CN"/>
        </w:rPr>
        <w:t>人员提职费用增加，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302.09</w:t>
      </w:r>
      <w:r>
        <w:rPr>
          <w:rFonts w:hint="eastAsia" w:ascii="仿宋_GB2312" w:hAnsi="Times New Roman" w:eastAsia="仿宋_GB2312" w:cs="DengXian-Regular"/>
          <w:sz w:val="32"/>
          <w:szCs w:val="32"/>
        </w:rPr>
        <w:t>万元，比年初预算增加</w:t>
      </w:r>
      <w:r>
        <w:rPr>
          <w:rFonts w:hint="eastAsia" w:ascii="仿宋_GB2312" w:hAnsi="Times New Roman" w:eastAsia="仿宋_GB2312" w:cs="DengXian-Regular"/>
          <w:sz w:val="32"/>
          <w:szCs w:val="32"/>
          <w:lang w:val="en-US" w:eastAsia="zh-CN"/>
        </w:rPr>
        <w:t>3.78</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val="en-US" w:eastAsia="zh-CN"/>
        </w:rPr>
        <w:t>大于</w:t>
      </w:r>
      <w:r>
        <w:rPr>
          <w:rFonts w:hint="eastAsia" w:ascii="仿宋_GB2312" w:hAnsi="Times New Roman" w:eastAsia="仿宋_GB2312" w:cs="DengXian-Regular"/>
          <w:sz w:val="32"/>
          <w:szCs w:val="32"/>
        </w:rPr>
        <w:t>预算数主要原因是</w:t>
      </w:r>
      <w:r>
        <w:rPr>
          <w:rFonts w:hint="eastAsia" w:ascii="仿宋_GB2312" w:hAnsi="Times New Roman" w:eastAsia="仿宋_GB2312" w:cs="DengXian-Regular"/>
          <w:sz w:val="32"/>
          <w:szCs w:val="32"/>
          <w:lang w:val="en-US" w:eastAsia="zh-CN"/>
        </w:rPr>
        <w:t>人员提职费用增加</w:t>
      </w:r>
      <w:r>
        <w:rPr>
          <w:rFonts w:hint="eastAsia" w:ascii="仿宋_GB2312" w:hAnsi="Times New Roman" w:eastAsia="仿宋_GB2312" w:cs="DengXian-Regular"/>
          <w:sz w:val="32"/>
          <w:szCs w:val="32"/>
        </w:rPr>
        <w:t>。</w:t>
      </w:r>
    </w:p>
    <w:p w14:paraId="62ECA31C">
      <w:pPr>
        <w:numPr>
          <w:ilvl w:val="0"/>
          <w:numId w:val="0"/>
        </w:numPr>
        <w:adjustRightInd w:val="0"/>
        <w:snapToGrid w:val="0"/>
        <w:spacing w:line="560" w:lineRule="exact"/>
        <w:rPr>
          <w:rFonts w:hint="eastAsia" w:ascii="楷体" w:hAnsi="楷体" w:eastAsia="楷体" w:cs="楷体_GB2312"/>
          <w:bCs/>
          <w:sz w:val="32"/>
          <w:szCs w:val="32"/>
        </w:rPr>
      </w:pPr>
    </w:p>
    <w:p w14:paraId="46503FEF">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02DEF66">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30.07014</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9.95</w:t>
      </w:r>
      <w:r>
        <w:rPr>
          <w:rFonts w:hint="eastAsia" w:ascii="仿宋_GB2312" w:hAnsi="仿宋_GB2312" w:eastAsia="仿宋_GB2312" w:cs="仿宋_GB2312"/>
          <w:sz w:val="32"/>
          <w:szCs w:val="32"/>
        </w:rPr>
        <w:t>%。组织对202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个国有资本经营预算项目支出开展绩效自评，共涉及资金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万元，占国有资本经营预算项目支出总额的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128D23D6">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巡察工作经费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调整后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30.07014</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万元。从评价情况来看，根据年初设定的绩效目标，巡察工作经费项目绩效自评得分为9</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分。</w:t>
      </w:r>
    </w:p>
    <w:p w14:paraId="0383EC80">
      <w:pPr>
        <w:adjustRightInd w:val="0"/>
        <w:snapToGrid w:val="0"/>
        <w:spacing w:line="560" w:lineRule="exact"/>
        <w:rPr>
          <w:rFonts w:ascii="仿宋" w:hAnsi="仿宋" w:eastAsia="仿宋"/>
          <w:sz w:val="32"/>
          <w:szCs w:val="32"/>
        </w:rPr>
      </w:pPr>
    </w:p>
    <w:p w14:paraId="729C74D7">
      <w:pPr>
        <w:adjustRightInd w:val="0"/>
        <w:snapToGrid w:val="0"/>
        <w:spacing w:line="560" w:lineRule="exact"/>
        <w:ind w:firstLine="640" w:firstLineChars="200"/>
        <w:rPr>
          <w:rFonts w:ascii="仿宋" w:hAnsi="仿宋" w:eastAsia="仿宋"/>
          <w:sz w:val="32"/>
          <w:szCs w:val="32"/>
        </w:rPr>
      </w:pPr>
    </w:p>
    <w:p w14:paraId="3A6F086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6CCCBC2">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3A265B7">
      <w:pPr>
        <w:ind w:left="420"/>
        <w:rPr>
          <w:rFonts w:hint="eastAsia" w:ascii="仿宋" w:hAnsi="仿宋" w:eastAsia="仿宋"/>
          <w:sz w:val="32"/>
          <w:szCs w:val="32"/>
          <w:lang w:val="en-US" w:eastAsia="zh-CN"/>
        </w:rPr>
      </w:pPr>
      <w:r>
        <w:rPr>
          <w:rFonts w:hint="eastAsia" w:ascii="仿宋" w:hAnsi="仿宋" w:eastAsia="仿宋"/>
          <w:sz w:val="32"/>
          <w:szCs w:val="32"/>
        </w:rPr>
        <w:t xml:space="preserve">     </w:t>
      </w:r>
      <w:r>
        <w:rPr>
          <w:rFonts w:hint="eastAsia" w:ascii="仿宋" w:hAnsi="仿宋" w:eastAsia="仿宋" w:cs="仿宋"/>
          <w:sz w:val="32"/>
          <w:szCs w:val="32"/>
        </w:rPr>
        <w:t>单位成立了绩效自评工作小组，自评工作专人负责，项目评价资料完</w:t>
      </w:r>
      <w:r>
        <w:rPr>
          <w:rFonts w:hint="eastAsia" w:ascii="仿宋" w:hAnsi="仿宋" w:eastAsia="仿宋" w:cs="仿宋"/>
          <w:sz w:val="32"/>
          <w:szCs w:val="32"/>
          <w:lang w:val="en-US" w:eastAsia="zh-CN"/>
        </w:rPr>
        <w:t>整。</w:t>
      </w:r>
    </w:p>
    <w:p w14:paraId="1391DB8C">
      <w:pPr>
        <w:spacing w:line="560" w:lineRule="exact"/>
        <w:rPr>
          <w:rFonts w:ascii="仿宋" w:hAnsi="仿宋" w:eastAsia="仿宋"/>
          <w:sz w:val="32"/>
          <w:szCs w:val="32"/>
        </w:rPr>
      </w:pPr>
    </w:p>
    <w:p w14:paraId="655668FD">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36E698E">
      <w:pPr>
        <w:ind w:left="420" w:firstLine="640" w:firstLineChars="200"/>
        <w:rPr>
          <w:rFonts w:hint="eastAsia" w:ascii="仿宋" w:hAnsi="仿宋" w:eastAsia="仿宋" w:cs="仿宋"/>
          <w:sz w:val="32"/>
          <w:szCs w:val="32"/>
        </w:rPr>
      </w:pPr>
      <w:r>
        <w:rPr>
          <w:rFonts w:hint="eastAsia" w:ascii="仿宋" w:hAnsi="仿宋" w:eastAsia="仿宋" w:cs="仿宋"/>
          <w:sz w:val="32"/>
          <w:szCs w:val="32"/>
        </w:rPr>
        <w:t>对202</w:t>
      </w:r>
      <w:r>
        <w:rPr>
          <w:rFonts w:hint="eastAsia" w:ascii="仿宋" w:hAnsi="仿宋" w:eastAsia="仿宋" w:cs="仿宋"/>
          <w:sz w:val="32"/>
          <w:szCs w:val="32"/>
          <w:lang w:val="en-US" w:eastAsia="zh-CN"/>
        </w:rPr>
        <w:t>5</w:t>
      </w:r>
      <w:r>
        <w:rPr>
          <w:rFonts w:hint="eastAsia" w:ascii="仿宋" w:hAnsi="仿宋" w:eastAsia="仿宋" w:cs="仿宋"/>
          <w:sz w:val="32"/>
          <w:szCs w:val="32"/>
        </w:rPr>
        <w:t>年项目年度预算方案实施情况和绩效目标进行了逐项的检查。政治巡察既是一项政治性、政策性、业务性很强的工作，也有精准出击、灵活多变的特点，需要拓宽思路，根据不同的巡察对象，综合运用常规、专项、机动巡察和“回头看多种巡察方式”，什么方式适合、效果好，就运用什么方式。</w:t>
      </w:r>
    </w:p>
    <w:p w14:paraId="4FA257D2">
      <w:pPr>
        <w:numPr>
          <w:ilvl w:val="0"/>
          <w:numId w:val="0"/>
        </w:numPr>
        <w:spacing w:line="560" w:lineRule="exact"/>
        <w:ind w:left="642" w:leftChars="0"/>
        <w:rPr>
          <w:rFonts w:ascii="楷体" w:hAnsi="楷体" w:eastAsia="楷体" w:cs="楷体_GB2312"/>
          <w:bCs/>
          <w:sz w:val="32"/>
          <w:szCs w:val="32"/>
        </w:rPr>
      </w:pPr>
    </w:p>
    <w:p w14:paraId="5E30A95E">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C55E24E">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5AFC818">
      <w:pPr>
        <w:spacing w:line="500" w:lineRule="exact"/>
        <w:ind w:firstLine="560"/>
        <w:rPr>
          <w:rFonts w:ascii="仿宋" w:hAnsi="仿宋" w:eastAsia="仿宋"/>
          <w:color w:val="000000"/>
          <w:sz w:val="32"/>
          <w:lang w:eastAsia="zh-CN"/>
        </w:rPr>
      </w:pPr>
      <w:r>
        <w:rPr>
          <w:rFonts w:ascii="仿宋" w:hAnsi="仿宋" w:eastAsia="仿宋"/>
          <w:color w:val="000000"/>
          <w:sz w:val="32"/>
        </w:rPr>
        <w:t>（一）总体绩效目标</w:t>
      </w:r>
    </w:p>
    <w:p w14:paraId="5D1AC81F">
      <w:pPr>
        <w:spacing w:line="500" w:lineRule="exact"/>
        <w:ind w:firstLine="640" w:firstLineChars="200"/>
        <w:rPr>
          <w:rFonts w:ascii="仿宋" w:hAnsi="仿宋" w:eastAsia="仿宋" w:cstheme="minorEastAsia"/>
          <w:sz w:val="32"/>
          <w:szCs w:val="32"/>
        </w:rPr>
      </w:pPr>
      <w:r>
        <w:rPr>
          <w:rFonts w:hint="eastAsia" w:ascii="仿宋" w:hAnsi="仿宋" w:eastAsia="仿宋" w:cstheme="minorEastAsia"/>
          <w:sz w:val="32"/>
          <w:szCs w:val="32"/>
        </w:rPr>
        <w:t>习近平新时代中国特色社会主义思想为指导，深入贯彻落实党的十九届四中全会精神，坚持稳中求进总基调，以党的政治建设为统领，协助县委全面从严治党，强化日常监督，一体推进不敢腐、不能腐、不想腐，巩固反腐败斗争压倒性胜利；深化运用监督执纪“四种形态”按时保质保量完成省、市交办巡视巡察工作，深化体制改革，健全党和国家监督体系，巡察工作达到全覆盖；建设高素质专业化巡察干部队伍，推动新时代巡察工作高质量发展，依规依纪依法履行职责，确保不发生安全事故。</w:t>
      </w:r>
    </w:p>
    <w:p w14:paraId="59A71189">
      <w:pPr>
        <w:pStyle w:val="7"/>
      </w:pPr>
    </w:p>
    <w:p w14:paraId="3AFEDD1E">
      <w:pPr>
        <w:spacing w:line="500" w:lineRule="exact"/>
        <w:ind w:firstLine="560"/>
        <w:rPr>
          <w:rFonts w:ascii="仿宋" w:hAnsi="仿宋" w:eastAsia="仿宋"/>
          <w:color w:val="000000"/>
          <w:sz w:val="32"/>
          <w:szCs w:val="32"/>
          <w:lang w:eastAsia="zh-CN"/>
        </w:rPr>
      </w:pPr>
      <w:r>
        <w:rPr>
          <w:rFonts w:ascii="仿宋" w:hAnsi="仿宋" w:eastAsia="仿宋"/>
          <w:color w:val="000000"/>
          <w:sz w:val="32"/>
          <w:szCs w:val="32"/>
        </w:rPr>
        <w:t>（</w:t>
      </w:r>
      <w:r>
        <w:rPr>
          <w:rFonts w:hint="eastAsia" w:ascii="仿宋" w:hAnsi="仿宋" w:eastAsia="仿宋"/>
          <w:color w:val="000000"/>
          <w:sz w:val="32"/>
          <w:szCs w:val="32"/>
          <w:lang w:val="en-US" w:eastAsia="zh-CN"/>
        </w:rPr>
        <w:t>二</w:t>
      </w:r>
      <w:r>
        <w:rPr>
          <w:rFonts w:ascii="仿宋" w:hAnsi="仿宋" w:eastAsia="仿宋"/>
          <w:color w:val="000000"/>
          <w:sz w:val="32"/>
          <w:szCs w:val="32"/>
        </w:rPr>
        <w:t>）工作保障措施</w:t>
      </w:r>
    </w:p>
    <w:p w14:paraId="66C257DB">
      <w:pPr>
        <w:spacing w:line="500" w:lineRule="exact"/>
        <w:ind w:firstLine="640" w:firstLineChars="200"/>
        <w:rPr>
          <w:rFonts w:ascii="仿宋" w:hAnsi="仿宋" w:eastAsia="仿宋" w:cstheme="minorEastAsia"/>
          <w:sz w:val="32"/>
          <w:szCs w:val="32"/>
        </w:rPr>
      </w:pPr>
      <w:r>
        <w:rPr>
          <w:rFonts w:hint="eastAsia" w:ascii="仿宋" w:hAnsi="仿宋" w:eastAsia="仿宋" w:cstheme="minorEastAsia"/>
          <w:sz w:val="32"/>
          <w:szCs w:val="32"/>
        </w:rPr>
        <w:t>1、坚决落实“两个维护”首要政治任务。认真贯彻落实党中央重大决策部署和习近平总书记对河北工作重要指示批示精神，督促党员领导干部把“两个维护”落实到实际行动上。增强政治敏锐性和政治鉴别力，严肃查处政治上离心离德、思想上蜕化变质、组织上拉帮结派、行动上阳奉阴违等问题。坚持依规依纪、精准科学、错责相当，严肃查处“两个责任”落实不力问题。</w:t>
      </w:r>
    </w:p>
    <w:p w14:paraId="7DE548B2">
      <w:pPr>
        <w:spacing w:line="500" w:lineRule="exact"/>
        <w:ind w:firstLine="640" w:firstLineChars="200"/>
        <w:rPr>
          <w:rFonts w:ascii="仿宋" w:hAnsi="仿宋" w:eastAsia="仿宋" w:cstheme="minorEastAsia"/>
          <w:sz w:val="32"/>
          <w:szCs w:val="32"/>
        </w:rPr>
      </w:pPr>
      <w:r>
        <w:rPr>
          <w:rFonts w:hint="eastAsia" w:ascii="仿宋" w:hAnsi="仿宋" w:eastAsia="仿宋" w:cstheme="minorEastAsia"/>
          <w:sz w:val="32"/>
          <w:szCs w:val="32"/>
        </w:rPr>
        <w:t>2、持续深化政治巡察。深入贯彻落实市委巡察工作规划，组织开展好常规巡察、机动式巡察。强化巡察工作思路、举措、方法创新，坚持把巡察与净化政治生态状况相结合，与整治群众反映强烈的问题相结合，与解决日常监督发现的突出问题相结合，形成监督合力。加大巡视巡察移交问题线索查处力度，狠抓巡视巡察反馈意见整改落实，夯实整改主体责任，不断完善纪检监察机关、组织部门加强整改日常监督的工作机制，对整改责任不落实、敷衍整改，甚至边改边犯的严肃问责。</w:t>
      </w:r>
    </w:p>
    <w:p w14:paraId="5539823C">
      <w:pPr>
        <w:spacing w:line="500" w:lineRule="exact"/>
        <w:ind w:firstLine="640" w:firstLineChars="200"/>
        <w:rPr>
          <w:rFonts w:ascii="仿宋" w:hAnsi="仿宋" w:eastAsia="仿宋" w:cstheme="minorEastAsia"/>
          <w:b/>
          <w:bCs/>
          <w:color w:val="FF0000"/>
          <w:sz w:val="32"/>
          <w:szCs w:val="32"/>
        </w:rPr>
      </w:pPr>
      <w:r>
        <w:rPr>
          <w:rFonts w:hint="eastAsia" w:ascii="仿宋" w:hAnsi="仿宋" w:eastAsia="仿宋" w:cstheme="minorEastAsia"/>
          <w:sz w:val="32"/>
          <w:szCs w:val="32"/>
        </w:rPr>
        <w:t>3、加强内部监督。加强内控管理，严格审核、监督重大支出决策程序，审核政府采购、资产处置等重要经济业务事项的决策和执行是否符合有关规定，配合做好审计、财政监督等外部监督工作，确保财政资金安全有效。</w:t>
      </w:r>
    </w:p>
    <w:p w14:paraId="4520007B">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5D5AE36">
      <w:pPr>
        <w:spacing w:line="500" w:lineRule="exact"/>
        <w:ind w:firstLine="640" w:firstLineChars="200"/>
        <w:rPr>
          <w:rFonts w:ascii="仿宋" w:hAnsi="仿宋" w:eastAsia="仿宋" w:cstheme="minorEastAsia"/>
          <w:sz w:val="32"/>
          <w:szCs w:val="32"/>
        </w:rPr>
      </w:pPr>
      <w:r>
        <w:rPr>
          <w:rFonts w:hint="eastAsia" w:ascii="仿宋" w:hAnsi="仿宋" w:eastAsia="仿宋" w:cstheme="minorEastAsia"/>
          <w:sz w:val="32"/>
          <w:szCs w:val="32"/>
        </w:rPr>
        <w:t>1、巡察监督常态化、全覆盖</w:t>
      </w:r>
    </w:p>
    <w:p w14:paraId="0129044D">
      <w:pPr>
        <w:spacing w:line="500" w:lineRule="exact"/>
        <w:ind w:firstLine="640" w:firstLineChars="200"/>
        <w:rPr>
          <w:rFonts w:ascii="仿宋" w:hAnsi="仿宋" w:eastAsia="仿宋" w:cstheme="minorEastAsia"/>
          <w:sz w:val="32"/>
          <w:szCs w:val="32"/>
        </w:rPr>
      </w:pPr>
      <w:r>
        <w:rPr>
          <w:rFonts w:hint="eastAsia" w:ascii="仿宋" w:hAnsi="仿宋" w:eastAsia="仿宋" w:cstheme="minorEastAsia"/>
          <w:sz w:val="32"/>
          <w:szCs w:val="32"/>
        </w:rPr>
        <w:t>绩效目标：做好市委巡视服务保障工作；深入贯彻落实市委巡察工作规划，组织好常规巡察、机动式巡察。</w:t>
      </w:r>
    </w:p>
    <w:p w14:paraId="7F4BF582">
      <w:pPr>
        <w:spacing w:line="500" w:lineRule="exact"/>
        <w:ind w:firstLine="640" w:firstLineChars="200"/>
        <w:rPr>
          <w:rFonts w:ascii="仿宋" w:hAnsi="仿宋" w:eastAsia="仿宋" w:cstheme="minorEastAsia"/>
          <w:sz w:val="32"/>
          <w:szCs w:val="32"/>
        </w:rPr>
      </w:pPr>
      <w:r>
        <w:rPr>
          <w:rFonts w:hint="eastAsia" w:ascii="仿宋" w:hAnsi="仿宋" w:eastAsia="仿宋" w:cstheme="minorEastAsia"/>
          <w:sz w:val="32"/>
          <w:szCs w:val="32"/>
        </w:rPr>
        <w:t>绩效指标：着力发现落实党的路线方针政策，贯彻执行党中央、省委、市委重大决策部署方面存在的责任问题、腐败问题、作风问题，违反党的</w:t>
      </w:r>
      <w:r>
        <w:rPr>
          <w:rFonts w:hint="eastAsia" w:ascii="仿宋" w:hAnsi="仿宋" w:eastAsia="仿宋" w:cstheme="minorEastAsia"/>
          <w:sz w:val="32"/>
          <w:szCs w:val="32"/>
          <w:lang w:eastAsia="zh-CN"/>
        </w:rPr>
        <w:t>中央八项规定、</w:t>
      </w:r>
      <w:r>
        <w:rPr>
          <w:rFonts w:hint="eastAsia" w:ascii="仿宋" w:hAnsi="仿宋" w:eastAsia="仿宋" w:cstheme="minorEastAsia"/>
          <w:sz w:val="32"/>
          <w:szCs w:val="32"/>
        </w:rPr>
        <w:t>“六项纪律”、搞“七个有之”等问题。加大巡视巡察移交问题线索查处力度，狠抓巡视巡察反馈意见整改落实，夯实整改主体责任，完善纪检监察机关、组织部门加强整改日常监督的工作机制，对整改责任不落实，敷衍整改的严肃问责。</w:t>
      </w:r>
    </w:p>
    <w:p w14:paraId="26418B50">
      <w:pPr>
        <w:spacing w:line="500" w:lineRule="exact"/>
        <w:ind w:firstLine="640" w:firstLineChars="200"/>
        <w:rPr>
          <w:rFonts w:ascii="仿宋" w:hAnsi="仿宋" w:eastAsia="仿宋" w:cstheme="minorEastAsia"/>
          <w:sz w:val="32"/>
          <w:szCs w:val="32"/>
        </w:rPr>
      </w:pPr>
      <w:r>
        <w:rPr>
          <w:rFonts w:hint="eastAsia" w:ascii="仿宋" w:hAnsi="仿宋" w:eastAsia="仿宋" w:cstheme="minorEastAsia"/>
          <w:sz w:val="32"/>
          <w:szCs w:val="32"/>
        </w:rPr>
        <w:t>2、建设政治过硬、本领高强的巡察干部队伍</w:t>
      </w:r>
    </w:p>
    <w:p w14:paraId="3A5B64E8">
      <w:pPr>
        <w:spacing w:line="500" w:lineRule="exact"/>
        <w:ind w:firstLine="640" w:firstLineChars="200"/>
        <w:rPr>
          <w:rFonts w:ascii="仿宋" w:hAnsi="仿宋" w:eastAsia="仿宋" w:cstheme="minorEastAsia"/>
          <w:sz w:val="32"/>
          <w:szCs w:val="32"/>
        </w:rPr>
      </w:pPr>
      <w:r>
        <w:rPr>
          <w:rFonts w:hint="eastAsia" w:ascii="仿宋" w:hAnsi="仿宋" w:eastAsia="仿宋" w:cstheme="minorEastAsia"/>
          <w:sz w:val="32"/>
          <w:szCs w:val="32"/>
        </w:rPr>
        <w:t>绩效目标：加大教育培训力度，抓好基层建设，加强作风和纪律建设，严格执行监督执纪工作规矩。</w:t>
      </w:r>
    </w:p>
    <w:p w14:paraId="1084AAF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74EAC2F">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5195E298">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2D088F1">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7D99851">
      <w:pPr>
        <w:spacing w:line="560" w:lineRule="exact"/>
        <w:ind w:left="319" w:leftChars="152" w:firstLine="320" w:firstLineChars="1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年初预算由于实际巡察中工作与预期稍有偏差，细化不到具体项目，导致后期支出受阻，影响效率。</w:t>
      </w:r>
    </w:p>
    <w:p w14:paraId="25BE6EFB">
      <w:pPr>
        <w:spacing w:line="560" w:lineRule="exact"/>
        <w:ind w:firstLine="640" w:firstLineChars="200"/>
        <w:rPr>
          <w:rFonts w:hint="eastAsia" w:ascii="楷体" w:hAnsi="楷体" w:eastAsia="楷体"/>
          <w:bCs/>
          <w:sz w:val="32"/>
          <w:szCs w:val="32"/>
        </w:rPr>
      </w:pPr>
    </w:p>
    <w:p w14:paraId="2FBA7398">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47BDA230">
      <w:pPr>
        <w:numPr>
          <w:ilvl w:val="0"/>
          <w:numId w:val="0"/>
        </w:numPr>
        <w:spacing w:line="560" w:lineRule="exact"/>
        <w:ind w:leftChars="200" w:firstLine="320" w:firstLineChars="100"/>
        <w:rPr>
          <w:rFonts w:hint="eastAsia" w:ascii="仿宋" w:hAnsi="仿宋" w:eastAsia="仿宋" w:cs="仿宋"/>
          <w:bCs/>
          <w:sz w:val="32"/>
          <w:szCs w:val="32"/>
        </w:rPr>
      </w:pPr>
      <w:r>
        <w:rPr>
          <w:rFonts w:hint="eastAsia" w:ascii="仿宋" w:hAnsi="仿宋" w:eastAsia="仿宋" w:cs="仿宋"/>
          <w:bCs/>
          <w:sz w:val="32"/>
          <w:szCs w:val="32"/>
        </w:rPr>
        <w:t>优化、细化绩效目标，规范落实措施，使巡察中各方更加满意，财政资源配置进一步提升。</w:t>
      </w:r>
    </w:p>
    <w:p w14:paraId="7690A009">
      <w:pPr>
        <w:numPr>
          <w:ilvl w:val="0"/>
          <w:numId w:val="0"/>
        </w:numPr>
        <w:spacing w:line="560" w:lineRule="exact"/>
        <w:ind w:leftChars="200"/>
        <w:rPr>
          <w:rFonts w:hint="eastAsia" w:ascii="楷体" w:hAnsi="楷体" w:eastAsia="楷体"/>
          <w:bCs/>
          <w:sz w:val="32"/>
          <w:szCs w:val="32"/>
        </w:rPr>
      </w:pPr>
    </w:p>
    <w:p w14:paraId="69947DC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p w14:paraId="37308194">
      <w:pPr>
        <w:pStyle w:val="6"/>
        <w:ind w:left="42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苏辉峰</w:t>
      </w:r>
      <w:r>
        <w:rPr>
          <w:rFonts w:hint="eastAsia" w:ascii="仿宋" w:hAnsi="仿宋" w:eastAsia="仿宋" w:cs="仿宋"/>
          <w:sz w:val="32"/>
          <w:szCs w:val="32"/>
        </w:rPr>
        <w:t xml:space="preserve">    赵县巡察办主任</w:t>
      </w:r>
    </w:p>
    <w:p w14:paraId="463463A5">
      <w:pPr>
        <w:pStyle w:val="6"/>
        <w:ind w:left="420" w:firstLine="0" w:firstLineChars="0"/>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曹  杰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赵县巡察办副主任</w:t>
      </w:r>
    </w:p>
    <w:p w14:paraId="03FD649D">
      <w:pPr>
        <w:pStyle w:val="6"/>
        <w:ind w:left="42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郭保松</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赵县巡察办综合股股长</w:t>
      </w:r>
    </w:p>
    <w:p w14:paraId="567CAA5B">
      <w:pPr>
        <w:spacing w:line="560" w:lineRule="exact"/>
        <w:rPr>
          <w:rFonts w:ascii="仿宋" w:hAnsi="仿宋" w:eastAsia="仿宋"/>
        </w:rPr>
      </w:pPr>
    </w:p>
    <w:p w14:paraId="36EB942E">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KSOFE44F9426">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72937">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4B2847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545A99"/>
    <w:multiLevelType w:val="singleLevel"/>
    <w:tmpl w:val="D8545A99"/>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7475EE78"/>
    <w:multiLevelType w:val="singleLevel"/>
    <w:tmpl w:val="7475EE78"/>
    <w:lvl w:ilvl="0" w:tentative="0">
      <w:start w:val="3"/>
      <w:numFmt w:val="chineseCounting"/>
      <w:suff w:val="nothing"/>
      <w:lvlText w:val="（%1）"/>
      <w:lvlJc w:val="left"/>
      <w:rPr>
        <w:rFonts w:hint="eastAsi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9721397"/>
    <w:rsid w:val="0BB63BED"/>
    <w:rsid w:val="0EB97A43"/>
    <w:rsid w:val="0EBD2122"/>
    <w:rsid w:val="0F214EAE"/>
    <w:rsid w:val="10264A11"/>
    <w:rsid w:val="11B71E6A"/>
    <w:rsid w:val="13B5164B"/>
    <w:rsid w:val="1AAF0063"/>
    <w:rsid w:val="1BE140DE"/>
    <w:rsid w:val="1D491BD5"/>
    <w:rsid w:val="248C197D"/>
    <w:rsid w:val="252959AF"/>
    <w:rsid w:val="277A6671"/>
    <w:rsid w:val="281A529E"/>
    <w:rsid w:val="292D35B7"/>
    <w:rsid w:val="33EB6CFF"/>
    <w:rsid w:val="35A12947"/>
    <w:rsid w:val="37387040"/>
    <w:rsid w:val="3A7C2BAF"/>
    <w:rsid w:val="3B625C0A"/>
    <w:rsid w:val="3CEE1963"/>
    <w:rsid w:val="436B78D3"/>
    <w:rsid w:val="49896BC7"/>
    <w:rsid w:val="4C9C27FE"/>
    <w:rsid w:val="512260B4"/>
    <w:rsid w:val="52BD6ACB"/>
    <w:rsid w:val="55537534"/>
    <w:rsid w:val="561A74F1"/>
    <w:rsid w:val="597244E8"/>
    <w:rsid w:val="5EB71C30"/>
    <w:rsid w:val="60A41268"/>
    <w:rsid w:val="66AF0CE5"/>
    <w:rsid w:val="6ABE0C43"/>
    <w:rsid w:val="6AC537CF"/>
    <w:rsid w:val="6E5B14A6"/>
    <w:rsid w:val="711B255E"/>
    <w:rsid w:val="73AE2FCE"/>
    <w:rsid w:val="78283BA0"/>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List Paragraph"/>
    <w:basedOn w:val="1"/>
    <w:autoRedefine/>
    <w:qFormat/>
    <w:uiPriority w:val="34"/>
    <w:pPr>
      <w:ind w:firstLine="420" w:firstLineChars="200"/>
    </w:pPr>
  </w:style>
  <w:style w:type="paragraph" w:customStyle="1" w:styleId="7">
    <w:name w:val="插入文本样式-插入职责分类绩效目标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2343</Words>
  <Characters>2432</Characters>
  <Lines>4</Lines>
  <Paragraphs>1</Paragraphs>
  <TotalTime>0</TotalTime>
  <ScaleCrop>false</ScaleCrop>
  <LinksUpToDate>false</LinksUpToDate>
  <CharactersWithSpaces>2472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2026-04-23T09:06:58Z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eyJoZGlkIjoiY2Q1YmEwODljMjhlMDViZDY2ZTI0MGM5YzhhNmYyYzUiLCJ1c2VySWQiOiIxNTUwMjQwMDk2In0=</vt:lpwstr>
  </property>
</Properties>
</file>