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7494F5">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8DAB721">
      <w:pPr>
        <w:spacing w:line="560" w:lineRule="exact"/>
        <w:jc w:val="center"/>
        <w:rPr>
          <w:rFonts w:ascii="宋体" w:hAnsi="宋体" w:cs="宋体"/>
          <w:b/>
          <w:bCs/>
          <w:sz w:val="44"/>
          <w:szCs w:val="44"/>
        </w:rPr>
      </w:pPr>
    </w:p>
    <w:p w14:paraId="32A19209">
      <w:pPr>
        <w:spacing w:line="560" w:lineRule="exact"/>
        <w:jc w:val="center"/>
        <w:rPr>
          <w:rFonts w:ascii="宋体" w:hAnsi="宋体" w:cs="宋体"/>
          <w:b/>
          <w:bCs/>
          <w:sz w:val="44"/>
          <w:szCs w:val="44"/>
        </w:rPr>
      </w:pPr>
      <w:r>
        <w:rPr>
          <w:rFonts w:hint="eastAsia" w:ascii="宋体" w:hAnsi="宋体" w:cs="宋体"/>
          <w:b/>
          <w:bCs/>
          <w:sz w:val="44"/>
          <w:szCs w:val="44"/>
          <w:lang w:eastAsia="zh-CN"/>
        </w:rPr>
        <w:t>河北赵县经济开发区管理委员会</w:t>
      </w:r>
    </w:p>
    <w:p w14:paraId="3CB25A3D">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CD8CAC6">
      <w:pPr>
        <w:spacing w:line="560" w:lineRule="exact"/>
        <w:jc w:val="center"/>
        <w:rPr>
          <w:rFonts w:ascii="华文楷体" w:eastAsia="华文楷体"/>
          <w:sz w:val="32"/>
          <w:szCs w:val="32"/>
        </w:rPr>
      </w:pPr>
    </w:p>
    <w:p w14:paraId="7651D63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w:t>
      </w:r>
      <w:r>
        <w:rPr>
          <w:rFonts w:hint="default" w:ascii="仿宋" w:hAnsi="仿宋" w:eastAsia="仿宋"/>
          <w:sz w:val="32"/>
          <w:szCs w:val="32"/>
          <w:lang w:val="en-US"/>
        </w:rPr>
        <w:t>、县</w:t>
      </w:r>
      <w:r>
        <w:rPr>
          <w:rFonts w:hint="eastAsia" w:ascii="仿宋" w:hAnsi="仿宋" w:eastAsia="仿宋"/>
          <w:sz w:val="32"/>
          <w:szCs w:val="32"/>
        </w:rPr>
        <w:t>政府《全面落实预算绩效管理的实施意见》（[2019]77）文件精神，遵循“科学性、规范性、客观性和公正性”的原则，对</w:t>
      </w:r>
      <w:r>
        <w:rPr>
          <w:rFonts w:hint="eastAsia" w:ascii="仿宋" w:hAnsi="仿宋" w:eastAsia="仿宋"/>
          <w:sz w:val="32"/>
          <w:szCs w:val="32"/>
          <w:lang w:eastAsia="zh-CN"/>
        </w:rPr>
        <w:t>河北赵县经济开发区管理委员会</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CF0B3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3ABCE94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86E094C">
      <w:pPr>
        <w:spacing w:before="0" w:after="0" w:line="500" w:lineRule="exact"/>
        <w:ind w:firstLine="560"/>
        <w:jc w:val="left"/>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开发区建设和管理。按县委、县政府要求，为发展经济，建设赵县经济开发区，需编制开发区各项规划，搞好基础设施建设，大力招商引资，以促进赵县经济发展。通过广告牌、电视、网站、报刊等多种形式，借助会展、洽谈会、推介会等平台，宣传介绍赵县经济开发区，提高社会和投资者对开发区的认识和了解，大力招商。做好信息网络和电子商务建设，完善服务体系，营造良好招商氛围。审核、审批、管理企业投资项目。帮助项目办理各项手续，建立多元融资渠道和平台，开展土地预收储。加强企业安全生产监管。做好开发区水、电、道路、燃气、供热、弱电等基础设施建设，做好污水和垃圾处理建设，搞好开发区绿化、亮化、美化，为招商引资创造良好环境。做好环境保护。加强治安体系建设，保证开发区稳定安全。</w:t>
      </w:r>
    </w:p>
    <w:p w14:paraId="36198512">
      <w:pPr>
        <w:adjustRightInd w:val="0"/>
        <w:snapToGrid w:val="0"/>
        <w:spacing w:line="560" w:lineRule="exact"/>
        <w:ind w:firstLine="640" w:firstLineChars="200"/>
        <w:rPr>
          <w:rFonts w:hint="eastAsia" w:ascii="仿宋" w:hAnsi="仿宋" w:eastAsia="仿宋" w:cs="仿宋"/>
          <w:color w:val="000000"/>
          <w:sz w:val="32"/>
          <w:szCs w:val="32"/>
          <w:lang w:eastAsia="zh-CN"/>
        </w:rPr>
      </w:pPr>
      <w:r>
        <w:rPr>
          <w:rFonts w:hint="eastAsia" w:ascii="仿宋" w:hAnsi="仿宋" w:eastAsia="仿宋" w:cs="仿宋"/>
          <w:color w:val="000000"/>
          <w:sz w:val="32"/>
          <w:szCs w:val="32"/>
        </w:rPr>
        <w:t>开发区综合事务管理。突出政务、加强事务、提升服务，力求重点工作出精品，难点工作求突破、基础工作有创新、常规工作见特色。保障机关工作正常高效运转</w:t>
      </w:r>
      <w:r>
        <w:rPr>
          <w:rFonts w:hint="eastAsia" w:ascii="仿宋" w:hAnsi="仿宋" w:eastAsia="仿宋" w:cs="仿宋"/>
          <w:color w:val="000000"/>
          <w:sz w:val="32"/>
          <w:szCs w:val="32"/>
          <w:lang w:eastAsia="zh-CN"/>
        </w:rPr>
        <w:t>。</w:t>
      </w:r>
    </w:p>
    <w:p w14:paraId="59A28CE8">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机构设置：</w:t>
      </w:r>
    </w:p>
    <w:p w14:paraId="63B0EA78">
      <w:pPr>
        <w:spacing w:before="0" w:after="0" w:line="240" w:lineRule="auto"/>
        <w:ind w:firstLine="0"/>
        <w:jc w:val="center"/>
        <w:outlineLvl w:val="9"/>
        <w:rPr>
          <w:rFonts w:hint="eastAsia" w:ascii="仿宋" w:hAnsi="仿宋" w:eastAsia="仿宋" w:cs="仿宋"/>
          <w:sz w:val="32"/>
          <w:szCs w:val="32"/>
        </w:rPr>
      </w:pPr>
      <w:r>
        <w:rPr>
          <w:rFonts w:hint="eastAsia" w:ascii="仿宋" w:hAnsi="仿宋" w:eastAsia="仿宋" w:cs="仿宋"/>
          <w:color w:val="000000"/>
          <w:sz w:val="32"/>
          <w:szCs w:val="32"/>
        </w:rPr>
        <w:t>部门机构设置情况</w:t>
      </w:r>
    </w:p>
    <w:tbl>
      <w:tblPr>
        <w:tblStyle w:val="7"/>
        <w:tblpPr w:leftFromText="180" w:rightFromText="180" w:vertAnchor="text" w:horzAnchor="page" w:tblpX="1690" w:tblpY="15"/>
        <w:tblOverlap w:val="never"/>
        <w:tblW w:w="885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45"/>
        <w:gridCol w:w="1575"/>
        <w:gridCol w:w="1785"/>
        <w:gridCol w:w="1845"/>
      </w:tblGrid>
      <w:tr w14:paraId="379B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3645" w:type="dxa"/>
            <w:vAlign w:val="center"/>
          </w:tcPr>
          <w:p w14:paraId="0F718032">
            <w:pPr>
              <w:pStyle w:val="9"/>
            </w:pPr>
            <w:r>
              <w:t>单位名称</w:t>
            </w:r>
          </w:p>
        </w:tc>
        <w:tc>
          <w:tcPr>
            <w:tcW w:w="1575" w:type="dxa"/>
            <w:vAlign w:val="center"/>
          </w:tcPr>
          <w:p w14:paraId="761D5C6B">
            <w:pPr>
              <w:pStyle w:val="9"/>
            </w:pPr>
            <w:r>
              <w:t>单位性质</w:t>
            </w:r>
          </w:p>
        </w:tc>
        <w:tc>
          <w:tcPr>
            <w:tcW w:w="1785" w:type="dxa"/>
            <w:vAlign w:val="center"/>
          </w:tcPr>
          <w:p w14:paraId="602C41D8">
            <w:pPr>
              <w:pStyle w:val="9"/>
            </w:pPr>
            <w:r>
              <w:t>单位规格</w:t>
            </w:r>
          </w:p>
        </w:tc>
        <w:tc>
          <w:tcPr>
            <w:tcW w:w="1845" w:type="dxa"/>
            <w:vAlign w:val="center"/>
          </w:tcPr>
          <w:p w14:paraId="586BDCAA">
            <w:pPr>
              <w:pStyle w:val="9"/>
            </w:pPr>
            <w:r>
              <w:t>经费保障形式</w:t>
            </w:r>
          </w:p>
        </w:tc>
      </w:tr>
      <w:tr w14:paraId="6D82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645" w:type="dxa"/>
            <w:vAlign w:val="center"/>
          </w:tcPr>
          <w:p w14:paraId="270EE9ED">
            <w:pPr>
              <w:pStyle w:val="10"/>
            </w:pPr>
            <w:r>
              <w:t>河北赵县经济开发区管理委员会本级</w:t>
            </w:r>
          </w:p>
        </w:tc>
        <w:tc>
          <w:tcPr>
            <w:tcW w:w="1575" w:type="dxa"/>
            <w:vAlign w:val="center"/>
          </w:tcPr>
          <w:p w14:paraId="0382AE94">
            <w:pPr>
              <w:pStyle w:val="11"/>
            </w:pPr>
            <w:r>
              <w:t>行政</w:t>
            </w:r>
          </w:p>
        </w:tc>
        <w:tc>
          <w:tcPr>
            <w:tcW w:w="1785" w:type="dxa"/>
            <w:vAlign w:val="center"/>
          </w:tcPr>
          <w:p w14:paraId="5B9611D0">
            <w:pPr>
              <w:pStyle w:val="11"/>
            </w:pPr>
            <w:r>
              <w:t>副处（县）级</w:t>
            </w:r>
          </w:p>
        </w:tc>
        <w:tc>
          <w:tcPr>
            <w:tcW w:w="1845" w:type="dxa"/>
            <w:vAlign w:val="center"/>
          </w:tcPr>
          <w:p w14:paraId="1545B2C7">
            <w:pPr>
              <w:pStyle w:val="11"/>
            </w:pPr>
            <w:r>
              <w:t>财政拨款</w:t>
            </w:r>
          </w:p>
        </w:tc>
      </w:tr>
    </w:tbl>
    <w:p w14:paraId="32EF9CC4">
      <w:pPr>
        <w:adjustRightInd w:val="0"/>
        <w:snapToGrid w:val="0"/>
        <w:spacing w:line="560" w:lineRule="exact"/>
        <w:ind w:firstLine="640" w:firstLineChars="200"/>
        <w:rPr>
          <w:rFonts w:hint="eastAsia" w:ascii="仿宋" w:hAnsi="仿宋" w:eastAsia="仿宋" w:cs="仿宋"/>
          <w:color w:val="000000"/>
          <w:sz w:val="32"/>
          <w:szCs w:val="32"/>
          <w:highlight w:val="none"/>
          <w:lang w:eastAsia="zh-CN"/>
        </w:rPr>
      </w:pPr>
      <w:r>
        <w:rPr>
          <w:rFonts w:hint="eastAsia" w:ascii="仿宋" w:hAnsi="仿宋" w:eastAsia="仿宋" w:cs="仿宋"/>
          <w:sz w:val="32"/>
          <w:szCs w:val="32"/>
          <w:highlight w:val="none"/>
        </w:rPr>
        <w:t>截至 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 xml:space="preserve"> 年 12 月 31 日我单位有在编人员</w:t>
      </w:r>
      <w:r>
        <w:rPr>
          <w:rFonts w:hint="default" w:ascii="仿宋" w:hAnsi="仿宋" w:eastAsia="仿宋" w:cs="仿宋"/>
          <w:sz w:val="32"/>
          <w:szCs w:val="32"/>
          <w:highlight w:val="none"/>
          <w:lang w:val="en-US"/>
        </w:rPr>
        <w:t>35</w:t>
      </w:r>
      <w:r>
        <w:rPr>
          <w:rFonts w:hint="eastAsia" w:ascii="仿宋" w:hAnsi="仿宋" w:eastAsia="仿宋" w:cs="仿宋"/>
          <w:sz w:val="32"/>
          <w:szCs w:val="32"/>
          <w:highlight w:val="none"/>
        </w:rPr>
        <w:t>人，固定资产金额为</w:t>
      </w:r>
      <w:r>
        <w:rPr>
          <w:rFonts w:hint="eastAsia" w:ascii="仿宋" w:hAnsi="仿宋" w:eastAsia="仿宋" w:cs="仿宋"/>
          <w:sz w:val="32"/>
          <w:szCs w:val="32"/>
          <w:highlight w:val="none"/>
          <w:lang w:val="en-US" w:eastAsia="zh-CN"/>
        </w:rPr>
        <w:t>55</w:t>
      </w:r>
      <w:r>
        <w:rPr>
          <w:rFonts w:hint="default" w:ascii="仿宋" w:hAnsi="仿宋" w:eastAsia="仿宋" w:cs="仿宋"/>
          <w:sz w:val="32"/>
          <w:szCs w:val="32"/>
          <w:highlight w:val="none"/>
          <w:lang w:val="en-US" w:eastAsia="zh-CN"/>
        </w:rPr>
        <w:t>7</w:t>
      </w:r>
      <w:r>
        <w:rPr>
          <w:rFonts w:hint="eastAsia" w:ascii="仿宋" w:hAnsi="仿宋" w:eastAsia="仿宋" w:cs="仿宋"/>
          <w:sz w:val="32"/>
          <w:szCs w:val="32"/>
          <w:highlight w:val="none"/>
          <w:lang w:val="en-US" w:eastAsia="zh-CN"/>
        </w:rPr>
        <w:t>.</w:t>
      </w:r>
      <w:r>
        <w:rPr>
          <w:rFonts w:hint="default" w:ascii="仿宋" w:hAnsi="仿宋" w:eastAsia="仿宋" w:cs="仿宋"/>
          <w:sz w:val="32"/>
          <w:szCs w:val="32"/>
          <w:highlight w:val="none"/>
          <w:lang w:val="en-US" w:eastAsia="zh-CN"/>
        </w:rPr>
        <w:t>91</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无形资产</w:t>
      </w:r>
      <w:r>
        <w:rPr>
          <w:rFonts w:hint="default" w:ascii="仿宋" w:hAnsi="仿宋" w:eastAsia="仿宋" w:cs="仿宋"/>
          <w:sz w:val="32"/>
          <w:szCs w:val="32"/>
          <w:highlight w:val="none"/>
          <w:lang w:val="en-US" w:eastAsia="zh-CN"/>
        </w:rPr>
        <w:t>15539.11</w:t>
      </w:r>
      <w:r>
        <w:rPr>
          <w:rFonts w:hint="eastAsia" w:ascii="仿宋" w:hAnsi="仿宋" w:eastAsia="仿宋" w:cs="仿宋"/>
          <w:sz w:val="32"/>
          <w:szCs w:val="32"/>
          <w:highlight w:val="none"/>
          <w:lang w:val="en-US" w:eastAsia="zh-CN"/>
        </w:rPr>
        <w:t>万元，在建工程</w:t>
      </w:r>
      <w:r>
        <w:rPr>
          <w:rFonts w:hint="default" w:ascii="仿宋" w:hAnsi="仿宋" w:eastAsia="仿宋" w:cs="仿宋"/>
          <w:sz w:val="32"/>
          <w:szCs w:val="32"/>
          <w:highlight w:val="none"/>
          <w:lang w:val="en-US" w:eastAsia="zh-CN"/>
        </w:rPr>
        <w:t>106652.67</w:t>
      </w:r>
      <w:r>
        <w:rPr>
          <w:rFonts w:hint="eastAsia" w:ascii="仿宋" w:hAnsi="仿宋" w:eastAsia="仿宋" w:cs="仿宋"/>
          <w:sz w:val="32"/>
          <w:szCs w:val="32"/>
          <w:highlight w:val="none"/>
          <w:lang w:val="en-US" w:eastAsia="zh-CN"/>
        </w:rPr>
        <w:t>万元，公共基础设施</w:t>
      </w:r>
      <w:r>
        <w:rPr>
          <w:rFonts w:hint="default" w:ascii="仿宋" w:hAnsi="仿宋" w:eastAsia="仿宋" w:cs="仿宋"/>
          <w:sz w:val="32"/>
          <w:szCs w:val="32"/>
          <w:highlight w:val="none"/>
          <w:lang w:val="en-US" w:eastAsia="zh-CN"/>
        </w:rPr>
        <w:t>465.02</w:t>
      </w:r>
      <w:r>
        <w:rPr>
          <w:rFonts w:hint="eastAsia" w:ascii="仿宋" w:hAnsi="仿宋" w:eastAsia="仿宋" w:cs="仿宋"/>
          <w:sz w:val="32"/>
          <w:szCs w:val="32"/>
          <w:highlight w:val="none"/>
          <w:lang w:val="en-US" w:eastAsia="zh-CN"/>
        </w:rPr>
        <w:t>万元</w:t>
      </w:r>
      <w:r>
        <w:rPr>
          <w:rFonts w:hint="eastAsia" w:ascii="仿宋" w:hAnsi="仿宋" w:eastAsia="仿宋" w:cs="仿宋"/>
          <w:sz w:val="32"/>
          <w:szCs w:val="32"/>
          <w:highlight w:val="none"/>
        </w:rPr>
        <w:t>。</w:t>
      </w:r>
    </w:p>
    <w:p w14:paraId="37279F5B">
      <w:pPr>
        <w:numPr>
          <w:ilvl w:val="0"/>
          <w:numId w:val="1"/>
        </w:numPr>
        <w:spacing w:before="0" w:after="0" w:line="500" w:lineRule="exact"/>
        <w:ind w:firstLine="560"/>
        <w:jc w:val="left"/>
        <w:outlineLvl w:val="9"/>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9842E86">
      <w:pPr>
        <w:keepNext w:val="0"/>
        <w:keepLines w:val="0"/>
        <w:pageBreakBefore w:val="0"/>
        <w:widowControl w:val="0"/>
        <w:numPr>
          <w:ilvl w:val="0"/>
          <w:numId w:val="0"/>
        </w:numPr>
        <w:kinsoku/>
        <w:wordWrap/>
        <w:overflowPunct/>
        <w:topLinePunct w:val="0"/>
        <w:autoSpaceDE/>
        <w:autoSpaceDN/>
        <w:bidi w:val="0"/>
        <w:adjustRightInd/>
        <w:snapToGrid/>
        <w:spacing w:before="0" w:after="0" w:line="500" w:lineRule="exact"/>
        <w:ind w:firstLine="640" w:firstLineChars="200"/>
        <w:jc w:val="left"/>
        <w:textAlignment w:val="auto"/>
        <w:outlineLvl w:val="9"/>
        <w:rPr>
          <w:rFonts w:hint="eastAsia" w:ascii="仿宋" w:hAnsi="仿宋" w:eastAsia="仿宋" w:cs="仿宋"/>
          <w:color w:val="000000"/>
          <w:sz w:val="32"/>
          <w:szCs w:val="32"/>
          <w:highlight w:val="yellow"/>
          <w:lang w:val="en-US" w:eastAsia="uk-UA"/>
        </w:rPr>
      </w:pPr>
      <w:r>
        <w:rPr>
          <w:rFonts w:hint="eastAsia" w:ascii="仿宋" w:hAnsi="仿宋" w:eastAsia="仿宋" w:cs="仿宋"/>
          <w:color w:val="000000"/>
          <w:sz w:val="32"/>
          <w:szCs w:val="32"/>
          <w:highlight w:val="none"/>
          <w:lang w:val="en-US" w:eastAsia="uk-UA"/>
        </w:rPr>
        <w:t>202</w:t>
      </w:r>
      <w:r>
        <w:rPr>
          <w:rFonts w:hint="default" w:ascii="仿宋" w:hAnsi="仿宋" w:eastAsia="仿宋" w:cs="仿宋"/>
          <w:color w:val="000000"/>
          <w:sz w:val="32"/>
          <w:szCs w:val="32"/>
          <w:highlight w:val="none"/>
          <w:lang w:val="en-US" w:eastAsia="uk-UA"/>
        </w:rPr>
        <w:t>5</w:t>
      </w:r>
      <w:r>
        <w:rPr>
          <w:rFonts w:hint="eastAsia" w:ascii="仿宋" w:hAnsi="仿宋" w:eastAsia="仿宋" w:cs="仿宋"/>
          <w:color w:val="000000"/>
          <w:sz w:val="32"/>
          <w:szCs w:val="32"/>
          <w:highlight w:val="none"/>
          <w:lang w:val="en-US" w:eastAsia="uk-UA"/>
        </w:rPr>
        <w:t>年预算收入</w:t>
      </w:r>
      <w:r>
        <w:rPr>
          <w:rFonts w:hint="default" w:ascii="仿宋" w:hAnsi="仿宋" w:eastAsia="仿宋" w:cs="仿宋"/>
          <w:color w:val="000000"/>
          <w:sz w:val="32"/>
          <w:szCs w:val="32"/>
          <w:highlight w:val="none"/>
          <w:lang w:val="en-US" w:eastAsia="zh-CN"/>
        </w:rPr>
        <w:t>21950.91</w:t>
      </w:r>
      <w:r>
        <w:rPr>
          <w:rFonts w:hint="eastAsia" w:ascii="仿宋" w:hAnsi="仿宋" w:eastAsia="仿宋" w:cs="仿宋"/>
          <w:color w:val="000000"/>
          <w:sz w:val="32"/>
          <w:szCs w:val="32"/>
          <w:highlight w:val="none"/>
          <w:lang w:val="en-US" w:eastAsia="uk-UA"/>
        </w:rPr>
        <w:t>万元，其中：一般公共预算财政拨款收入</w:t>
      </w:r>
      <w:r>
        <w:rPr>
          <w:rFonts w:hint="default" w:ascii="仿宋" w:hAnsi="仿宋" w:eastAsia="仿宋" w:cs="仿宋"/>
          <w:color w:val="000000"/>
          <w:sz w:val="32"/>
          <w:szCs w:val="32"/>
          <w:highlight w:val="none"/>
          <w:lang w:val="en-US" w:eastAsia="zh-CN"/>
        </w:rPr>
        <w:t>9200.16</w:t>
      </w:r>
      <w:r>
        <w:rPr>
          <w:rFonts w:hint="eastAsia" w:ascii="仿宋" w:hAnsi="仿宋" w:eastAsia="仿宋" w:cs="仿宋"/>
          <w:color w:val="000000"/>
          <w:sz w:val="32"/>
          <w:szCs w:val="32"/>
          <w:highlight w:val="none"/>
          <w:lang w:val="en-US" w:eastAsia="uk-UA"/>
        </w:rPr>
        <w:t>万元，政府基金预算收入</w:t>
      </w:r>
      <w:r>
        <w:rPr>
          <w:rFonts w:hint="default" w:ascii="仿宋" w:hAnsi="仿宋" w:eastAsia="仿宋" w:cs="仿宋"/>
          <w:color w:val="000000"/>
          <w:sz w:val="32"/>
          <w:szCs w:val="32"/>
          <w:highlight w:val="none"/>
          <w:lang w:val="en-US" w:eastAsia="zh-CN"/>
        </w:rPr>
        <w:t>12750.75</w:t>
      </w:r>
      <w:r>
        <w:rPr>
          <w:rFonts w:hint="eastAsia" w:ascii="仿宋" w:hAnsi="仿宋" w:eastAsia="仿宋" w:cs="仿宋"/>
          <w:color w:val="000000"/>
          <w:sz w:val="32"/>
          <w:szCs w:val="32"/>
          <w:highlight w:val="none"/>
          <w:lang w:val="en-US" w:eastAsia="uk-UA"/>
        </w:rPr>
        <w:t>万元</w:t>
      </w:r>
      <w:r>
        <w:rPr>
          <w:rFonts w:hint="eastAsia" w:ascii="仿宋" w:hAnsi="仿宋" w:eastAsia="仿宋" w:cs="仿宋"/>
          <w:color w:val="000000"/>
          <w:sz w:val="32"/>
          <w:szCs w:val="32"/>
          <w:highlight w:val="none"/>
          <w:lang w:val="en-US" w:eastAsia="zh-CN"/>
        </w:rPr>
        <w:t>，上级一般公共预算安排转移支付2万元，财政拨款结转基金预算拨款</w:t>
      </w:r>
      <w:r>
        <w:rPr>
          <w:rFonts w:hint="default" w:ascii="仿宋" w:hAnsi="仿宋" w:eastAsia="仿宋" w:cs="仿宋"/>
          <w:color w:val="000000"/>
          <w:sz w:val="32"/>
          <w:szCs w:val="32"/>
          <w:highlight w:val="none"/>
          <w:lang w:val="en-US" w:eastAsia="zh-CN"/>
        </w:rPr>
        <w:t>0</w:t>
      </w:r>
      <w:r>
        <w:rPr>
          <w:rFonts w:hint="eastAsia" w:ascii="仿宋" w:hAnsi="仿宋" w:eastAsia="仿宋" w:cs="仿宋"/>
          <w:color w:val="000000"/>
          <w:sz w:val="32"/>
          <w:szCs w:val="32"/>
          <w:highlight w:val="none"/>
          <w:lang w:val="en-US" w:eastAsia="zh-CN"/>
        </w:rPr>
        <w:t>万元，</w:t>
      </w:r>
      <w:r>
        <w:rPr>
          <w:rFonts w:hint="eastAsia" w:ascii="仿宋" w:hAnsi="仿宋" w:eastAsia="仿宋" w:cs="仿宋"/>
          <w:color w:val="000000"/>
          <w:sz w:val="32"/>
          <w:szCs w:val="32"/>
          <w:highlight w:val="none"/>
          <w:lang w:val="en-US" w:eastAsia="uk-UA"/>
        </w:rPr>
        <w:t>财政专户核拨收入</w:t>
      </w:r>
      <w:r>
        <w:rPr>
          <w:rFonts w:hint="eastAsia" w:ascii="仿宋" w:hAnsi="仿宋" w:eastAsia="仿宋" w:cs="仿宋"/>
          <w:color w:val="000000"/>
          <w:sz w:val="32"/>
          <w:szCs w:val="32"/>
          <w:highlight w:val="none"/>
          <w:lang w:val="en-US" w:eastAsia="zh-CN"/>
        </w:rPr>
        <w:t>0</w:t>
      </w:r>
      <w:r>
        <w:rPr>
          <w:rFonts w:hint="eastAsia" w:ascii="仿宋" w:hAnsi="仿宋" w:eastAsia="仿宋" w:cs="仿宋"/>
          <w:color w:val="000000"/>
          <w:sz w:val="32"/>
          <w:szCs w:val="32"/>
          <w:highlight w:val="none"/>
          <w:lang w:val="en-US" w:eastAsia="uk-UA"/>
        </w:rPr>
        <w:t>万元，其他来源收入</w:t>
      </w:r>
      <w:r>
        <w:rPr>
          <w:rFonts w:hint="eastAsia" w:ascii="仿宋" w:hAnsi="仿宋" w:eastAsia="仿宋" w:cs="仿宋"/>
          <w:color w:val="000000"/>
          <w:sz w:val="32"/>
          <w:szCs w:val="32"/>
          <w:highlight w:val="none"/>
          <w:lang w:val="en-US" w:eastAsia="zh-CN"/>
        </w:rPr>
        <w:t>0</w:t>
      </w:r>
      <w:r>
        <w:rPr>
          <w:rFonts w:hint="eastAsia" w:ascii="仿宋" w:hAnsi="仿宋" w:eastAsia="仿宋" w:cs="仿宋"/>
          <w:color w:val="000000"/>
          <w:sz w:val="32"/>
          <w:szCs w:val="32"/>
          <w:highlight w:val="none"/>
          <w:lang w:val="en-US" w:eastAsia="uk-UA"/>
        </w:rPr>
        <w:t>万元。</w:t>
      </w:r>
    </w:p>
    <w:p w14:paraId="268308A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8F2C4DB">
      <w:pPr>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line="580" w:lineRule="exact"/>
        <w:ind w:right="0" w:rightChars="0" w:firstLine="640" w:firstLineChars="200"/>
        <w:jc w:val="both"/>
        <w:textAlignment w:val="auto"/>
        <w:outlineLvl w:val="9"/>
      </w:pPr>
      <w:r>
        <w:rPr>
          <w:rFonts w:hint="eastAsia" w:ascii="Times New Roman" w:hAnsi="Times New Roman" w:eastAsia="仿宋_GB2312" w:cs="Times New Roman"/>
          <w:color w:val="000000"/>
          <w:kern w:val="0"/>
          <w:sz w:val="32"/>
          <w:szCs w:val="32"/>
          <w:lang w:val="en-US" w:eastAsia="zh-CN" w:bidi="ar"/>
        </w:rPr>
        <w:t>一是主要经济指标持续向好。</w:t>
      </w:r>
      <w:r>
        <w:rPr>
          <w:rFonts w:hint="default" w:ascii="Times New Roman" w:hAnsi="Times New Roman" w:eastAsia="仿宋_GB2312" w:cs="Times New Roman"/>
          <w:color w:val="000000"/>
          <w:kern w:val="0"/>
          <w:sz w:val="32"/>
          <w:szCs w:val="32"/>
          <w:lang w:val="en-US" w:eastAsia="zh-CN" w:bidi="ar"/>
        </w:rPr>
        <w:t>开发区现有工业企业202</w:t>
      </w:r>
      <w:r>
        <w:rPr>
          <w:rFonts w:hint="eastAsia" w:ascii="Times New Roman" w:hAnsi="Times New Roman" w:eastAsia="仿宋_GB2312" w:cs="Times New Roman"/>
          <w:color w:val="000000"/>
          <w:kern w:val="0"/>
          <w:sz w:val="32"/>
          <w:szCs w:val="32"/>
          <w:lang w:val="en-US" w:eastAsia="zh" w:bidi="ar"/>
          <w:woUserID w:val="3"/>
        </w:rPr>
        <w:t>5</w:t>
      </w:r>
      <w:r>
        <w:rPr>
          <w:rFonts w:hint="default" w:ascii="Times New Roman" w:hAnsi="Times New Roman" w:eastAsia="仿宋_GB2312" w:cs="Times New Roman"/>
          <w:color w:val="000000"/>
          <w:kern w:val="0"/>
          <w:sz w:val="32"/>
          <w:szCs w:val="32"/>
          <w:lang w:val="en-US" w:eastAsia="zh-CN" w:bidi="ar"/>
        </w:rPr>
        <w:t>年</w:t>
      </w:r>
      <w:r>
        <w:rPr>
          <w:rFonts w:hint="eastAsia" w:ascii="Times New Roman" w:hAnsi="Times New Roman" w:eastAsia="仿宋_GB2312" w:cs="Times New Roman"/>
          <w:color w:val="000000"/>
          <w:kern w:val="0"/>
          <w:sz w:val="32"/>
          <w:szCs w:val="32"/>
          <w:lang w:val="en-US" w:eastAsia="zh" w:bidi="ar"/>
          <w:woUserID w:val="3"/>
        </w:rPr>
        <w:t>实现</w:t>
      </w:r>
      <w:r>
        <w:rPr>
          <w:rFonts w:hint="default" w:ascii="Times New Roman" w:hAnsi="Times New Roman" w:eastAsia="仿宋_GB2312" w:cs="Times New Roman"/>
          <w:color w:val="000000"/>
          <w:kern w:val="0"/>
          <w:sz w:val="32"/>
          <w:szCs w:val="32"/>
          <w:lang w:val="en-US" w:eastAsia="zh-CN" w:bidi="ar"/>
        </w:rPr>
        <w:t>营业收入同比增长</w:t>
      </w:r>
      <w:r>
        <w:rPr>
          <w:rFonts w:hint="eastAsia" w:ascii="Times New Roman" w:hAnsi="Times New Roman" w:eastAsia="仿宋_GB2312" w:cs="Times New Roman"/>
          <w:color w:val="000000"/>
          <w:kern w:val="0"/>
          <w:sz w:val="32"/>
          <w:szCs w:val="32"/>
          <w:lang w:val="en-US" w:eastAsia="zh" w:bidi="ar"/>
          <w:woUserID w:val="3"/>
        </w:rPr>
        <w:t>17</w:t>
      </w:r>
      <w:r>
        <w:rPr>
          <w:rFonts w:hint="default" w:ascii="Times New Roman" w:hAnsi="Times New Roman" w:eastAsia="仿宋_GB2312" w:cs="Times New Roman"/>
          <w:color w:val="000000"/>
          <w:kern w:val="0"/>
          <w:sz w:val="32"/>
          <w:szCs w:val="32"/>
          <w:lang w:val="en-US" w:eastAsia="zh-CN" w:bidi="ar"/>
        </w:rPr>
        <w:t>%；固定资产投资同比增长1</w:t>
      </w:r>
      <w:r>
        <w:rPr>
          <w:rFonts w:hint="eastAsia" w:ascii="Times New Roman" w:hAnsi="Times New Roman" w:eastAsia="仿宋_GB2312" w:cs="Times New Roman"/>
          <w:color w:val="000000"/>
          <w:kern w:val="0"/>
          <w:sz w:val="32"/>
          <w:szCs w:val="32"/>
          <w:lang w:val="en-US" w:eastAsia="zh" w:bidi="ar"/>
          <w:woUserID w:val="3"/>
        </w:rPr>
        <w:t>5</w:t>
      </w:r>
      <w:r>
        <w:rPr>
          <w:rFonts w:hint="default" w:ascii="Times New Roman" w:hAnsi="Times New Roman" w:eastAsia="仿宋_GB2312" w:cs="Times New Roman"/>
          <w:color w:val="000000"/>
          <w:kern w:val="0"/>
          <w:sz w:val="32"/>
          <w:szCs w:val="32"/>
          <w:lang w:val="en-US" w:eastAsia="zh-CN" w:bidi="ar"/>
        </w:rPr>
        <w:t>%；税收同比增长1</w:t>
      </w:r>
      <w:r>
        <w:rPr>
          <w:rFonts w:hint="eastAsia" w:ascii="Times New Roman" w:hAnsi="Times New Roman" w:eastAsia="仿宋_GB2312" w:cs="Times New Roman"/>
          <w:color w:val="000000"/>
          <w:kern w:val="0"/>
          <w:sz w:val="32"/>
          <w:szCs w:val="32"/>
          <w:lang w:val="en-US" w:eastAsia="zh" w:bidi="ar"/>
          <w:woUserID w:val="3"/>
        </w:rPr>
        <w:t>5</w:t>
      </w:r>
      <w:r>
        <w:rPr>
          <w:rFonts w:hint="eastAsia" w:ascii="Times New Roman" w:hAnsi="Times New Roman" w:eastAsia="仿宋_GB2312" w:cs="Times New Roman"/>
          <w:color w:val="000000"/>
          <w:kern w:val="0"/>
          <w:sz w:val="32"/>
          <w:szCs w:val="32"/>
          <w:lang w:val="en-US" w:eastAsia="zh-CN" w:bidi="ar"/>
          <w:woUserID w:val="3"/>
        </w:rPr>
        <w:t>.1</w:t>
      </w:r>
      <w:r>
        <w:rPr>
          <w:rFonts w:hint="default" w:ascii="Times New Roman" w:hAnsi="Times New Roman" w:eastAsia="仿宋_GB2312" w:cs="Times New Roman"/>
          <w:color w:val="000000"/>
          <w:kern w:val="0"/>
          <w:sz w:val="32"/>
          <w:szCs w:val="32"/>
          <w:lang w:val="en-US" w:eastAsia="zh-CN" w:bidi="ar"/>
        </w:rPr>
        <w:t>%；进出口总值完成同比增长</w:t>
      </w:r>
      <w:r>
        <w:rPr>
          <w:rFonts w:hint="eastAsia" w:ascii="Times New Roman" w:hAnsi="Times New Roman" w:eastAsia="仿宋_GB2312" w:cs="Times New Roman"/>
          <w:color w:val="000000"/>
          <w:kern w:val="0"/>
          <w:sz w:val="32"/>
          <w:szCs w:val="32"/>
          <w:lang w:val="en-US" w:eastAsia="zh" w:bidi="ar"/>
          <w:woUserID w:val="3"/>
        </w:rPr>
        <w:t>20</w:t>
      </w:r>
      <w:r>
        <w:rPr>
          <w:rFonts w:hint="default" w:ascii="Times New Roman" w:hAnsi="Times New Roman" w:eastAsia="仿宋_GB2312" w:cs="Times New Roman"/>
          <w:color w:val="000000"/>
          <w:kern w:val="0"/>
          <w:sz w:val="32"/>
          <w:szCs w:val="32"/>
          <w:lang w:val="en-US" w:eastAsia="zh-CN" w:bidi="ar"/>
        </w:rPr>
        <w:t>%。</w:t>
      </w:r>
      <w:r>
        <w:rPr>
          <w:rFonts w:hint="eastAsia" w:ascii="Times New Roman" w:hAnsi="Times New Roman" w:eastAsia="仿宋_GB2312" w:cs="Times New Roman"/>
          <w:color w:val="000000"/>
          <w:kern w:val="0"/>
          <w:sz w:val="32"/>
          <w:szCs w:val="32"/>
          <w:lang w:val="en-US" w:eastAsia="zh-CN" w:bidi="ar"/>
        </w:rPr>
        <w:t>二是</w:t>
      </w:r>
      <w:r>
        <w:rPr>
          <w:rFonts w:hint="default" w:ascii="仿宋_GB2312" w:hAnsi="Calibri" w:eastAsia="仿宋_GB2312" w:cs="仿宋_GB2312"/>
          <w:kern w:val="2"/>
          <w:sz w:val="32"/>
          <w:szCs w:val="32"/>
          <w:lang w:val="en-US" w:eastAsia="zh-CN" w:bidi="ar"/>
          <w:woUserID w:val="3"/>
        </w:rPr>
        <w:t>支持帮扶企业做大做强</w:t>
      </w:r>
      <w:r>
        <w:rPr>
          <w:rFonts w:hint="eastAsia" w:ascii="仿宋_GB2312" w:eastAsia="仿宋_GB2312" w:cs="仿宋_GB2312"/>
          <w:kern w:val="2"/>
          <w:sz w:val="32"/>
          <w:szCs w:val="32"/>
          <w:lang w:val="en-US" w:eastAsia="zh-CN" w:bidi="ar"/>
          <w:woUserID w:val="3"/>
        </w:rPr>
        <w:t>，</w:t>
      </w:r>
      <w:r>
        <w:rPr>
          <w:rFonts w:hint="eastAsia" w:ascii="仿宋_GB2312" w:hAnsi="Calibri" w:eastAsia="仿宋_GB2312" w:cs="仿宋_GB2312"/>
          <w:kern w:val="2"/>
          <w:sz w:val="32"/>
          <w:szCs w:val="32"/>
          <w:lang w:val="en-US" w:eastAsia="zh" w:bidi="ar"/>
          <w:woUserID w:val="3"/>
        </w:rPr>
        <w:t>坚持</w:t>
      </w:r>
      <w:r>
        <w:rPr>
          <w:rFonts w:hint="default" w:ascii="仿宋_GB2312" w:hAnsi="Calibri" w:eastAsia="仿宋_GB2312" w:cs="仿宋_GB2312"/>
          <w:kern w:val="2"/>
          <w:sz w:val="32"/>
          <w:szCs w:val="32"/>
          <w:lang w:val="en-US" w:eastAsia="zh-CN" w:bidi="ar"/>
          <w:woUserID w:val="3"/>
        </w:rPr>
        <w:t>对“小升规”企业培育工作进行指导和服务</w:t>
      </w:r>
      <w:r>
        <w:rPr>
          <w:rFonts w:hint="eastAsia" w:ascii="仿宋_GB2312" w:eastAsia="仿宋_GB2312" w:cs="仿宋_GB2312"/>
          <w:kern w:val="2"/>
          <w:sz w:val="32"/>
          <w:szCs w:val="32"/>
          <w:lang w:val="en-US" w:eastAsia="zh-CN" w:bidi="ar"/>
          <w:woUserID w:val="3"/>
        </w:rPr>
        <w:t>，</w:t>
      </w:r>
      <w:r>
        <w:rPr>
          <w:rFonts w:hint="default" w:ascii="仿宋_GB2312" w:hAnsi="Calibri" w:eastAsia="仿宋_GB2312" w:cs="仿宋_GB2312"/>
          <w:kern w:val="2"/>
          <w:sz w:val="32"/>
          <w:szCs w:val="32"/>
          <w:lang w:val="en-US" w:eastAsia="zh-CN" w:bidi="ar"/>
          <w:woUserID w:val="3"/>
        </w:rPr>
        <w:t>加大高新技术企业培育力度</w:t>
      </w:r>
      <w:r>
        <w:rPr>
          <w:rFonts w:hint="eastAsia" w:ascii="仿宋_GB2312" w:eastAsia="仿宋_GB2312" w:cs="仿宋_GB2312"/>
          <w:kern w:val="2"/>
          <w:sz w:val="32"/>
          <w:szCs w:val="32"/>
          <w:lang w:val="en-US" w:eastAsia="zh-CN" w:bidi="ar"/>
          <w:woUserID w:val="3"/>
        </w:rPr>
        <w:t>，</w:t>
      </w:r>
      <w:r>
        <w:rPr>
          <w:rFonts w:hint="default" w:ascii="仿宋_GB2312" w:hAnsi="Calibri" w:eastAsia="仿宋_GB2312" w:cs="仿宋_GB2312"/>
          <w:kern w:val="2"/>
          <w:sz w:val="32"/>
          <w:szCs w:val="32"/>
          <w:lang w:val="en-US" w:eastAsia="zh-CN" w:bidi="ar"/>
          <w:woUserID w:val="3"/>
        </w:rPr>
        <w:t>积极扶持中小微企业，引导企业向“专精特新”方向发展，帮扶企业申报“专精特新”</w:t>
      </w:r>
      <w:r>
        <w:rPr>
          <w:rFonts w:hint="eastAsia" w:ascii="仿宋_GB2312" w:eastAsia="仿宋_GB2312" w:cs="仿宋_GB2312"/>
          <w:kern w:val="2"/>
          <w:sz w:val="32"/>
          <w:szCs w:val="32"/>
          <w:lang w:val="en-US" w:eastAsia="zh-CN" w:bidi="ar"/>
          <w:woUserID w:val="3"/>
        </w:rPr>
        <w:t>；</w:t>
      </w:r>
      <w:r>
        <w:rPr>
          <w:rFonts w:hint="default" w:ascii="仿宋_GB2312" w:hAnsi="Times New Roman" w:eastAsia="仿宋_GB2312" w:cs="仿宋_GB2312"/>
          <w:color w:val="000000"/>
          <w:kern w:val="0"/>
          <w:sz w:val="32"/>
          <w:szCs w:val="32"/>
          <w:highlight w:val="none"/>
          <w:lang w:val="en-US" w:eastAsia="zh-CN" w:bidi="ar"/>
          <w:woUserID w:val="9"/>
        </w:rPr>
        <w:t>建立健全分包项目制度，向企业提供</w:t>
      </w:r>
      <w:r>
        <w:rPr>
          <w:rFonts w:hint="default" w:ascii="Times New Roman" w:hAnsi="Times New Roman" w:eastAsia="仿宋_GB2312" w:cs="Times New Roman"/>
          <w:color w:val="000000"/>
          <w:kern w:val="0"/>
          <w:sz w:val="32"/>
          <w:szCs w:val="32"/>
          <w:highlight w:val="none"/>
          <w:lang w:val="en-US" w:eastAsia="zh-CN" w:bidi="ar"/>
          <w:woUserID w:val="9"/>
        </w:rPr>
        <w:t>“</w:t>
      </w:r>
      <w:r>
        <w:rPr>
          <w:rFonts w:hint="default" w:ascii="仿宋_GB2312" w:hAnsi="Times New Roman" w:eastAsia="仿宋_GB2312" w:cs="仿宋_GB2312"/>
          <w:color w:val="000000"/>
          <w:kern w:val="0"/>
          <w:sz w:val="32"/>
          <w:szCs w:val="32"/>
          <w:highlight w:val="none"/>
          <w:lang w:val="en-US" w:eastAsia="zh-CN" w:bidi="ar"/>
          <w:woUserID w:val="9"/>
        </w:rPr>
        <w:t>多对一</w:t>
      </w:r>
      <w:r>
        <w:rPr>
          <w:rFonts w:hint="default" w:ascii="Times New Roman" w:hAnsi="Times New Roman" w:eastAsia="仿宋_GB2312" w:cs="Times New Roman"/>
          <w:color w:val="000000"/>
          <w:kern w:val="0"/>
          <w:sz w:val="32"/>
          <w:szCs w:val="32"/>
          <w:highlight w:val="none"/>
          <w:lang w:val="en-US" w:eastAsia="zh-CN" w:bidi="ar"/>
          <w:woUserID w:val="9"/>
        </w:rPr>
        <w:t>”</w:t>
      </w:r>
      <w:r>
        <w:rPr>
          <w:rFonts w:hint="default" w:ascii="仿宋_GB2312" w:hAnsi="Times New Roman" w:eastAsia="仿宋_GB2312" w:cs="仿宋_GB2312"/>
          <w:color w:val="000000"/>
          <w:kern w:val="0"/>
          <w:sz w:val="32"/>
          <w:szCs w:val="32"/>
          <w:highlight w:val="none"/>
          <w:lang w:val="en-US" w:eastAsia="zh-CN" w:bidi="ar"/>
          <w:woUserID w:val="9"/>
        </w:rPr>
        <w:t>、全流程帮办代办等服务</w:t>
      </w:r>
      <w:r>
        <w:rPr>
          <w:rFonts w:hint="default" w:ascii="仿宋_GB2312" w:hAnsi="Times New Roman" w:eastAsia="仿宋_GB2312" w:cs="仿宋_GB2312"/>
          <w:kern w:val="2"/>
          <w:sz w:val="32"/>
          <w:szCs w:val="32"/>
          <w:highlight w:val="none"/>
          <w:lang w:val="en-US" w:eastAsia="zh-CN" w:bidi="ar"/>
          <w:woUserID w:val="9"/>
        </w:rPr>
        <w:t>。三是招商引资工作有序开展</w:t>
      </w:r>
      <w:r>
        <w:rPr>
          <w:rFonts w:hint="eastAsia" w:ascii="仿宋_GB2312" w:hAnsi="Times New Roman" w:eastAsia="仿宋_GB2312" w:cs="仿宋_GB2312"/>
          <w:kern w:val="2"/>
          <w:sz w:val="32"/>
          <w:szCs w:val="32"/>
          <w:highlight w:val="none"/>
          <w:lang w:val="en-US" w:eastAsia="zh-CN" w:bidi="ar"/>
          <w:woUserID w:val="9"/>
        </w:rPr>
        <w:t>，</w:t>
      </w:r>
      <w:r>
        <w:rPr>
          <w:rFonts w:hint="default" w:ascii="仿宋_GB2312" w:hAnsi="Times New Roman" w:eastAsia="仿宋_GB2312" w:cs="仿宋_GB2312"/>
          <w:kern w:val="2"/>
          <w:sz w:val="32"/>
          <w:szCs w:val="32"/>
          <w:highlight w:val="none"/>
          <w:lang w:val="en-US" w:eastAsia="zh-CN" w:bidi="ar"/>
          <w:woUserID w:val="9"/>
        </w:rPr>
        <w:t>通过参加以商招商、以友引友，以及主动在</w:t>
      </w:r>
      <w:r>
        <w:rPr>
          <w:rFonts w:hint="eastAsia" w:ascii="仿宋_GB2312" w:hAnsi="Times New Roman" w:eastAsia="仿宋_GB2312" w:cs="仿宋_GB2312"/>
          <w:kern w:val="2"/>
          <w:sz w:val="32"/>
          <w:szCs w:val="32"/>
          <w:highlight w:val="none"/>
          <w:lang w:val="en-US" w:eastAsia="zh-CN" w:bidi="ar"/>
          <w:woUserID w:val="9"/>
        </w:rPr>
        <w:t>各</w:t>
      </w:r>
      <w:r>
        <w:rPr>
          <w:rFonts w:hint="default" w:ascii="仿宋_GB2312" w:hAnsi="Times New Roman" w:eastAsia="仿宋_GB2312" w:cs="仿宋_GB2312"/>
          <w:kern w:val="2"/>
          <w:sz w:val="32"/>
          <w:szCs w:val="32"/>
          <w:highlight w:val="none"/>
          <w:lang w:val="en-US" w:eastAsia="zh-CN" w:bidi="ar"/>
          <w:woUserID w:val="9"/>
        </w:rPr>
        <w:t>地开展推介活动，</w:t>
      </w:r>
      <w:r>
        <w:rPr>
          <w:rFonts w:hint="eastAsia" w:ascii="Times-Roman" w:hAnsi="Times-Roman" w:eastAsia="仿宋_GB2312" w:cs="Times-Roman"/>
          <w:sz w:val="32"/>
          <w:szCs w:val="32"/>
          <w:lang w:val="en-US" w:eastAsia="zh-CN"/>
        </w:rPr>
        <w:t>坚持以生物医药产业为</w:t>
      </w:r>
      <w:r>
        <w:rPr>
          <w:rFonts w:hint="default" w:ascii="Times-Roman" w:hAnsi="Times-Roman" w:eastAsia="仿宋_GB2312" w:cs="Times-Roman"/>
          <w:sz w:val="32"/>
          <w:szCs w:val="32"/>
          <w:lang w:val="en-US" w:eastAsia="zh-CN"/>
        </w:rPr>
        <w:t>主导产业</w:t>
      </w:r>
      <w:r>
        <w:rPr>
          <w:rFonts w:hint="eastAsia" w:ascii="Times-Roman" w:hAnsi="Times-Roman" w:eastAsia="仿宋_GB2312" w:cs="Times-Roman"/>
          <w:sz w:val="32"/>
          <w:szCs w:val="32"/>
          <w:lang w:val="en-US" w:eastAsia="zh-CN"/>
        </w:rPr>
        <w:t>，</w:t>
      </w:r>
      <w:r>
        <w:rPr>
          <w:rFonts w:hint="default" w:ascii="Times-Roman" w:hAnsi="Times-Roman" w:eastAsia="仿宋_GB2312" w:cs="Times-Roman"/>
          <w:sz w:val="32"/>
          <w:szCs w:val="32"/>
          <w:lang w:val="en-US" w:eastAsia="zh-CN"/>
        </w:rPr>
        <w:t>抓住国家和省市支持生物医药产业发展的政策叠加窗口期，以更大力度推动生物医药产业率先突破。</w:t>
      </w:r>
      <w:r>
        <w:rPr>
          <w:rFonts w:hint="eastAsia" w:ascii="Times-Roman" w:hAnsi="Times-Roman" w:eastAsia="仿宋_GB2312" w:cs="Times-Roman"/>
          <w:sz w:val="32"/>
          <w:szCs w:val="32"/>
          <w:lang w:val="en-US" w:eastAsia="zh-CN"/>
        </w:rPr>
        <w:t>四是环境保护工作</w:t>
      </w:r>
      <w:r>
        <w:rPr>
          <w:rFonts w:hint="eastAsia" w:ascii="Times New Roman" w:hAnsi="Times New Roman" w:eastAsia="仿宋_GB2312" w:cs="Times New Roman"/>
          <w:b w:val="0"/>
          <w:bCs w:val="0"/>
          <w:sz w:val="32"/>
          <w:szCs w:val="32"/>
          <w:lang w:val="en-US" w:eastAsia="zh"/>
          <w:woUserID w:val="11"/>
        </w:rPr>
        <w:t>积极落实网格化责任体系，在原有《开发区扬尘污染防治专项行动方案》等各类方案基础上开展扬尘专项整治行动并会同县生态环境分局做好工业企业排污、重点污染源管控、散乱污企业排查等工作</w:t>
      </w:r>
      <w:r>
        <w:rPr>
          <w:rFonts w:hint="eastAsia" w:ascii="Times New Roman" w:hAnsi="Times New Roman" w:eastAsia="仿宋_GB2312" w:cs="Times New Roman"/>
          <w:b w:val="0"/>
          <w:bCs w:val="0"/>
          <w:sz w:val="32"/>
          <w:szCs w:val="32"/>
          <w:lang w:val="en-US" w:eastAsia="zh-CN"/>
          <w:woUserID w:val="11"/>
        </w:rPr>
        <w:t>。五</w:t>
      </w:r>
      <w:r>
        <w:rPr>
          <w:rFonts w:hint="default" w:ascii="Times New Roman" w:hAnsi="Times New Roman" w:eastAsia="仿宋_GB2312" w:cs="Times New Roman"/>
          <w:b w:val="0"/>
          <w:bCs w:val="0"/>
          <w:sz w:val="32"/>
          <w:szCs w:val="32"/>
          <w:lang w:val="en-US" w:eastAsia="zh-CN"/>
        </w:rPr>
        <w:t>是安全生产严格落实“一岗双责”要求，坚持“三个必须”，实行领导干部带头包联，全体人员分包责任制，推动企业及项目工地落实安全生产主体责任，与各企业及项目工地签订安全生产责任书，联合企业及项目工地开展各项应急演练，督促企业及项目工地不断完善安全风险防控体系，提高安全管理能力。</w:t>
      </w:r>
    </w:p>
    <w:p w14:paraId="0589A8B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08073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0C18F9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首先按照绩效评价工作要求，明确绩效评价的内容和范围</w:t>
      </w:r>
      <w:r>
        <w:rPr>
          <w:rFonts w:hint="default" w:ascii="仿宋" w:hAnsi="仿宋" w:eastAsia="仿宋"/>
          <w:sz w:val="32"/>
          <w:szCs w:val="32"/>
          <w:lang w:val="en-US"/>
        </w:rPr>
        <w:t>,</w:t>
      </w:r>
      <w:r>
        <w:rPr>
          <w:rFonts w:hint="eastAsia" w:ascii="仿宋" w:hAnsi="仿宋" w:eastAsia="仿宋"/>
          <w:sz w:val="32"/>
          <w:szCs w:val="32"/>
        </w:rPr>
        <w:t>初步制定绩效评价工作方案。二是召开座谈会，对工作方案进行反复讨论并广泛征求相关部门和有关人员意见。三是在资料搜集、信息核实、现场调研、访谈沟通等工作的基础上，对我单位各预算项目单独进行打分自评，各项目自评工作为实施全院年度绩效评价工作奠定了基础。</w:t>
      </w:r>
    </w:p>
    <w:p w14:paraId="12579196">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44EA564">
      <w:pPr>
        <w:numPr>
          <w:ilvl w:val="0"/>
          <w:numId w:val="0"/>
        </w:num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绩效自评方法：</w:t>
      </w:r>
      <w:r>
        <w:rPr>
          <w:rFonts w:hint="eastAsia" w:ascii="仿宋" w:hAnsi="仿宋" w:eastAsia="仿宋" w:cs="仿宋"/>
          <w:sz w:val="32"/>
          <w:szCs w:val="32"/>
        </w:rPr>
        <w:t>评价方法主要包括成本效益分析法、比较法、因素分析法、最低成本法、公众评判法、标杆管理法等。根据评价对象的具体情况，采用定量与定性相结合、项目实施单位自评与工作小组评价相结合，运用比较法、公众评议等方法进行评价。</w:t>
      </w:r>
    </w:p>
    <w:p w14:paraId="7BBF60CF">
      <w:pPr>
        <w:numPr>
          <w:ilvl w:val="0"/>
          <w:numId w:val="0"/>
        </w:num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绩效自评过程：</w:t>
      </w:r>
    </w:p>
    <w:p w14:paraId="22380A8B">
      <w:pPr>
        <w:numPr>
          <w:ilvl w:val="0"/>
          <w:numId w:val="3"/>
        </w:num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前期准备阶段</w:t>
      </w:r>
      <w:r>
        <w:rPr>
          <w:rFonts w:hint="eastAsia" w:ascii="仿宋" w:hAnsi="仿宋" w:eastAsia="仿宋" w:cs="仿宋"/>
          <w:sz w:val="32"/>
          <w:szCs w:val="32"/>
          <w:lang w:eastAsia="zh-CN"/>
        </w:rPr>
        <w:t>：</w:t>
      </w:r>
      <w:r>
        <w:rPr>
          <w:rFonts w:hint="eastAsia" w:ascii="仿宋" w:hAnsi="仿宋" w:eastAsia="仿宋" w:cs="仿宋"/>
          <w:sz w:val="32"/>
          <w:szCs w:val="32"/>
        </w:rPr>
        <w:t>组建绩效评价工作组，采用听取项目单位情况介绍、检查相关资料、实地查看项目实施情况等方式对项目进行深入调研，了解项目背景、政策依据、基本概况、投入、实施管理、产出、效果等方面的信息，形成绩效评价总体思路，并确定绩效评价的基本方法。</w:t>
      </w:r>
    </w:p>
    <w:p w14:paraId="4FD78C37">
      <w:pPr>
        <w:numPr>
          <w:ilvl w:val="0"/>
          <w:numId w:val="3"/>
        </w:numPr>
        <w:adjustRightInd w:val="0"/>
        <w:snapToGrid w:val="0"/>
        <w:spacing w:line="560" w:lineRule="exact"/>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 xml:space="preserve">组织实施阶段 </w:t>
      </w:r>
    </w:p>
    <w:p w14:paraId="2762E603">
      <w:pPr>
        <w:numPr>
          <w:ilvl w:val="0"/>
          <w:numId w:val="0"/>
        </w:num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 xml:space="preserve">研发指标体系 </w:t>
      </w:r>
    </w:p>
    <w:p w14:paraId="7ED6447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项目组人员调研后，初步设计绩效评价指标体系、访谈提纲等。从项目决策、管理、产出和效益等 4 个方面研发设计绩效评价指标体系。 </w:t>
      </w:r>
    </w:p>
    <w:p w14:paraId="0156151E">
      <w:pPr>
        <w:numPr>
          <w:ilvl w:val="0"/>
          <w:numId w:val="4"/>
        </w:num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现场数据采集 </w:t>
      </w:r>
    </w:p>
    <w:p w14:paraId="19118B14">
      <w:pPr>
        <w:numPr>
          <w:ilvl w:val="0"/>
          <w:numId w:val="0"/>
        </w:num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采集的数据涵盖专项债券的发行、管理情况，债务资金拨付、到位、支出情况、建设项目完成情况等。采集方式包括核查账务、合同等资料，掌握资金拨付和使用情况、实地查看项目实施情况等方式，了解项目建设进度及存在的问题。</w:t>
      </w:r>
    </w:p>
    <w:p w14:paraId="1E8D6F5E">
      <w:pPr>
        <w:numPr>
          <w:ilvl w:val="0"/>
          <w:numId w:val="3"/>
        </w:numPr>
        <w:adjustRightInd w:val="0"/>
        <w:snapToGrid w:val="0"/>
        <w:spacing w:line="560" w:lineRule="exact"/>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 xml:space="preserve">综合评价阶段 </w:t>
      </w:r>
    </w:p>
    <w:p w14:paraId="2335BAA5">
      <w:pPr>
        <w:pStyle w:val="2"/>
        <w:keepNext w:val="0"/>
        <w:keepLines w:val="0"/>
        <w:pageBreakBefore w:val="0"/>
        <w:widowControl w:val="0"/>
        <w:kinsoku/>
        <w:wordWrap/>
        <w:overflowPunct/>
        <w:topLinePunct w:val="0"/>
        <w:autoSpaceDE/>
        <w:autoSpaceDN/>
        <w:bidi w:val="0"/>
        <w:adjustRightInd/>
        <w:snapToGrid/>
        <w:ind w:left="0" w:leftChars="0" w:firstLine="640" w:firstLineChars="200"/>
        <w:textAlignment w:val="auto"/>
      </w:pPr>
      <w:r>
        <w:rPr>
          <w:rFonts w:hint="eastAsia" w:ascii="仿宋" w:hAnsi="仿宋" w:eastAsia="仿宋" w:cs="仿宋"/>
          <w:sz w:val="32"/>
          <w:szCs w:val="32"/>
        </w:rPr>
        <w:t>根据现场核查等情况，依据制定的评价标准进行了评价指标打分，以定量和定性相结合的评价方法，撰写绩效评价报告初稿，充分征求相关单位意见后，最后提交绩效评价报告正式稿。</w:t>
      </w:r>
    </w:p>
    <w:p w14:paraId="16BA53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highlight w:val="none"/>
        </w:rPr>
      </w:pPr>
      <w:r>
        <w:rPr>
          <w:rFonts w:hint="eastAsia" w:ascii="黑体" w:hAnsi="黑体" w:eastAsia="黑体"/>
          <w:sz w:val="32"/>
          <w:szCs w:val="32"/>
          <w:highlight w:val="none"/>
        </w:rPr>
        <w:t>三、部门整体支出绩效目标实现情况及指标分析</w:t>
      </w:r>
    </w:p>
    <w:p w14:paraId="5094348C">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总体绩效目标实现情况</w:t>
      </w:r>
    </w:p>
    <w:p w14:paraId="350BA80C">
      <w:pPr>
        <w:widowControl w:val="0"/>
        <w:numPr>
          <w:ilvl w:val="0"/>
          <w:numId w:val="0"/>
        </w:numPr>
        <w:adjustRightInd w:val="0"/>
        <w:snapToGrid w:val="0"/>
        <w:spacing w:line="560" w:lineRule="exact"/>
        <w:ind w:left="0" w:leftChars="0" w:firstLine="640" w:firstLineChars="200"/>
        <w:jc w:val="both"/>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2025年度</w:t>
      </w:r>
      <w:r>
        <w:rPr>
          <w:rFonts w:hint="default"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赵县</w:t>
      </w:r>
      <w:bookmarkStart w:id="0" w:name="_GoBack"/>
      <w:bookmarkEnd w:id="0"/>
      <w:r>
        <w:rPr>
          <w:rFonts w:hint="eastAsia" w:ascii="仿宋" w:hAnsi="仿宋" w:eastAsia="仿宋" w:cs="仿宋"/>
          <w:kern w:val="2"/>
          <w:sz w:val="32"/>
          <w:szCs w:val="32"/>
          <w:lang w:val="en-US" w:eastAsia="zh-CN" w:bidi="ar-SA"/>
        </w:rPr>
        <w:t>经济开发区管理委员会紧扣园区发展核心职责，严格对照部门整体支出绩效目标，统筹推进资金保障、产业发展、项目建设、园区管理和服务提升等各项工作，整体绩效目标实现情况良好。</w:t>
      </w:r>
    </w:p>
    <w:p w14:paraId="618124BA">
      <w:pPr>
        <w:widowControl w:val="0"/>
        <w:numPr>
          <w:ilvl w:val="0"/>
          <w:numId w:val="0"/>
        </w:numPr>
        <w:adjustRightInd w:val="0"/>
        <w:snapToGrid w:val="0"/>
        <w:spacing w:line="560" w:lineRule="exact"/>
        <w:ind w:left="0" w:leftChars="0" w:firstLine="640" w:firstLineChars="200"/>
        <w:jc w:val="both"/>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预算执行规范有序，资金保障精准有力。全年严格执行财政预算管理制度，强化资金统筹与使用监管，重点保障基础设施建设、企业服务、产业扶持、安全环保运维等重点领域支出，预算完成率较高，资金使用合规高效，切实发挥财政资金对园区发展的支撑保障作用。</w:t>
      </w:r>
    </w:p>
    <w:p w14:paraId="5FA8A036">
      <w:pPr>
        <w:widowControl w:val="0"/>
        <w:numPr>
          <w:ilvl w:val="0"/>
          <w:numId w:val="0"/>
        </w:numPr>
        <w:adjustRightInd w:val="0"/>
        <w:snapToGrid w:val="0"/>
        <w:spacing w:line="560" w:lineRule="exact"/>
        <w:ind w:left="0" w:leftChars="0" w:firstLine="640" w:firstLineChars="200"/>
        <w:jc w:val="both"/>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履职成效显著，重点任务全面落实。围绕年度绩效目标，扎实推进招商引资、项目落地、基础设施完善等工作，园区承载能力持续提升；不断优化营商环境，提升政务服务效能，企业诉求响应及时、办理高效；严守安全、环保底线，园区运行平稳有序，各项产出指标均达到或超额完成年度目标。</w:t>
      </w:r>
    </w:p>
    <w:p w14:paraId="031215A8">
      <w:pPr>
        <w:widowControl w:val="0"/>
        <w:numPr>
          <w:ilvl w:val="0"/>
          <w:numId w:val="0"/>
        </w:numPr>
        <w:adjustRightInd w:val="0"/>
        <w:snapToGrid w:val="0"/>
        <w:spacing w:line="560" w:lineRule="exact"/>
        <w:ind w:left="0" w:leftChars="0" w:firstLine="640" w:firstLineChars="200"/>
        <w:jc w:val="both"/>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综合效益持续显现，发展质效稳步提升。园区经济保持平稳增长，产业集聚效应更加凸显，有效带动地方就业和财政增收；生态环境持续改善，绿色发展水平不断提升；企业和群众满意度较高，社会效益、经济效益、生态效益协同发展，较好发挥了经济开发区主平台、主引擎作用。</w:t>
      </w:r>
    </w:p>
    <w:p w14:paraId="0342084C">
      <w:pPr>
        <w:widowControl w:val="0"/>
        <w:numPr>
          <w:ilvl w:val="0"/>
          <w:numId w:val="0"/>
        </w:numPr>
        <w:adjustRightInd w:val="0"/>
        <w:snapToGrid w:val="0"/>
        <w:spacing w:line="560" w:lineRule="exact"/>
        <w:ind w:left="0" w:leftChars="0" w:firstLine="640" w:firstLineChars="200"/>
        <w:jc w:val="both"/>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下一步，将针对存在问题持续优化改进，进一步提升预算管理水平和资金使用效益，强化绩效目标管理与结果应用，推动园区高质量发展取得新成效。</w:t>
      </w:r>
    </w:p>
    <w:p w14:paraId="700C31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bCs/>
          <w:sz w:val="32"/>
          <w:szCs w:val="32"/>
          <w:highlight w:val="none"/>
        </w:rPr>
      </w:pPr>
      <w:r>
        <w:rPr>
          <w:rFonts w:hint="eastAsia" w:ascii="楷体" w:hAnsi="楷体" w:eastAsia="楷体" w:cs="楷体_GB2312"/>
          <w:bCs/>
          <w:sz w:val="32"/>
          <w:szCs w:val="32"/>
          <w:highlight w:val="none"/>
        </w:rPr>
        <w:t>（二）分项绩效目标实现情况及指标分析</w:t>
      </w:r>
    </w:p>
    <w:p w14:paraId="3614E554">
      <w:pPr>
        <w:spacing w:line="560" w:lineRule="exact"/>
        <w:ind w:firstLine="640" w:firstLineChars="200"/>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一是主要经济指标持续向好。</w:t>
      </w:r>
      <w:r>
        <w:rPr>
          <w:rFonts w:hint="default" w:ascii="仿宋" w:hAnsi="仿宋" w:eastAsia="仿宋" w:cs="仿宋"/>
          <w:sz w:val="32"/>
          <w:szCs w:val="32"/>
          <w:highlight w:val="none"/>
          <w:lang w:val="en-US" w:eastAsia="zh-CN"/>
        </w:rPr>
        <w:t>开发区现有工业企业16</w:t>
      </w:r>
      <w:r>
        <w:rPr>
          <w:rFonts w:hint="eastAsia" w:ascii="仿宋" w:hAnsi="仿宋" w:eastAsia="仿宋" w:cs="仿宋"/>
          <w:sz w:val="32"/>
          <w:szCs w:val="32"/>
          <w:highlight w:val="none"/>
          <w:lang w:val="en-US" w:eastAsia="zh"/>
        </w:rPr>
        <w:t>3</w:t>
      </w:r>
      <w:r>
        <w:rPr>
          <w:rFonts w:hint="default" w:ascii="仿宋" w:hAnsi="仿宋" w:eastAsia="仿宋" w:cs="仿宋"/>
          <w:sz w:val="32"/>
          <w:szCs w:val="32"/>
          <w:highlight w:val="none"/>
          <w:lang w:val="en-US" w:eastAsia="zh-CN"/>
        </w:rPr>
        <w:t>家，其中规上企业6</w:t>
      </w:r>
      <w:r>
        <w:rPr>
          <w:rFonts w:hint="eastAsia" w:ascii="仿宋" w:hAnsi="仿宋" w:eastAsia="仿宋" w:cs="仿宋"/>
          <w:sz w:val="32"/>
          <w:szCs w:val="32"/>
          <w:highlight w:val="none"/>
          <w:lang w:val="en-US" w:eastAsia="zh"/>
        </w:rPr>
        <w:t>5</w:t>
      </w:r>
      <w:r>
        <w:rPr>
          <w:rFonts w:hint="default" w:ascii="仿宋" w:hAnsi="仿宋" w:eastAsia="仿宋" w:cs="仿宋"/>
          <w:sz w:val="32"/>
          <w:szCs w:val="32"/>
          <w:highlight w:val="none"/>
          <w:lang w:val="en-US" w:eastAsia="zh-CN"/>
        </w:rPr>
        <w:t>家。</w:t>
      </w:r>
      <w:r>
        <w:rPr>
          <w:rFonts w:hint="eastAsia" w:ascii="仿宋" w:hAnsi="仿宋" w:eastAsia="仿宋" w:cs="仿宋"/>
          <w:sz w:val="32"/>
          <w:szCs w:val="32"/>
          <w:highlight w:val="none"/>
          <w:lang w:val="en-US" w:eastAsia="zh"/>
        </w:rPr>
        <w:t>预计</w:t>
      </w:r>
      <w:r>
        <w:rPr>
          <w:rFonts w:hint="default" w:ascii="仿宋" w:hAnsi="仿宋" w:eastAsia="仿宋" w:cs="仿宋"/>
          <w:sz w:val="32"/>
          <w:szCs w:val="32"/>
          <w:highlight w:val="none"/>
          <w:lang w:val="en-US" w:eastAsia="zh-CN"/>
        </w:rPr>
        <w:t>202</w:t>
      </w:r>
      <w:r>
        <w:rPr>
          <w:rFonts w:hint="eastAsia" w:ascii="仿宋" w:hAnsi="仿宋" w:eastAsia="仿宋" w:cs="仿宋"/>
          <w:sz w:val="32"/>
          <w:szCs w:val="32"/>
          <w:highlight w:val="none"/>
          <w:lang w:val="en-US" w:eastAsia="zh"/>
        </w:rPr>
        <w:t>5</w:t>
      </w:r>
      <w:r>
        <w:rPr>
          <w:rFonts w:hint="default" w:ascii="仿宋" w:hAnsi="仿宋" w:eastAsia="仿宋" w:cs="仿宋"/>
          <w:sz w:val="32"/>
          <w:szCs w:val="32"/>
          <w:highlight w:val="none"/>
          <w:lang w:val="en-US" w:eastAsia="zh-CN"/>
        </w:rPr>
        <w:t>年</w:t>
      </w:r>
      <w:r>
        <w:rPr>
          <w:rFonts w:hint="eastAsia" w:ascii="仿宋" w:hAnsi="仿宋" w:eastAsia="仿宋" w:cs="仿宋"/>
          <w:sz w:val="32"/>
          <w:szCs w:val="32"/>
          <w:highlight w:val="none"/>
          <w:lang w:val="en-US" w:eastAsia="zh"/>
        </w:rPr>
        <w:t>实现</w:t>
      </w:r>
      <w:r>
        <w:rPr>
          <w:rFonts w:hint="default" w:ascii="仿宋" w:hAnsi="仿宋" w:eastAsia="仿宋" w:cs="仿宋"/>
          <w:sz w:val="32"/>
          <w:szCs w:val="32"/>
          <w:highlight w:val="none"/>
          <w:lang w:val="en-US" w:eastAsia="zh-CN"/>
        </w:rPr>
        <w:t>营业收入</w:t>
      </w:r>
      <w:r>
        <w:rPr>
          <w:rFonts w:hint="eastAsia" w:ascii="仿宋" w:hAnsi="仿宋" w:eastAsia="仿宋" w:cs="仿宋"/>
          <w:sz w:val="32"/>
          <w:szCs w:val="32"/>
          <w:highlight w:val="none"/>
          <w:lang w:val="en-US" w:eastAsia="zh"/>
        </w:rPr>
        <w:t>190</w:t>
      </w:r>
      <w:r>
        <w:rPr>
          <w:rFonts w:hint="default" w:ascii="仿宋" w:hAnsi="仿宋" w:eastAsia="仿宋" w:cs="仿宋"/>
          <w:sz w:val="32"/>
          <w:szCs w:val="32"/>
          <w:highlight w:val="none"/>
          <w:lang w:val="en-US" w:eastAsia="zh-CN"/>
        </w:rPr>
        <w:t>亿元，同比增长</w:t>
      </w:r>
      <w:r>
        <w:rPr>
          <w:rFonts w:hint="eastAsia" w:ascii="仿宋" w:hAnsi="仿宋" w:eastAsia="仿宋" w:cs="仿宋"/>
          <w:sz w:val="32"/>
          <w:szCs w:val="32"/>
          <w:highlight w:val="none"/>
          <w:lang w:val="en-US" w:eastAsia="zh"/>
        </w:rPr>
        <w:t>17.1</w:t>
      </w:r>
      <w:r>
        <w:rPr>
          <w:rFonts w:hint="default" w:ascii="仿宋" w:hAnsi="仿宋" w:eastAsia="仿宋" w:cs="仿宋"/>
          <w:sz w:val="32"/>
          <w:szCs w:val="32"/>
          <w:highlight w:val="none"/>
          <w:lang w:val="en-US" w:eastAsia="zh-CN"/>
        </w:rPr>
        <w:t>%；固定资产投资完成1</w:t>
      </w:r>
      <w:r>
        <w:rPr>
          <w:rFonts w:hint="eastAsia" w:ascii="仿宋" w:hAnsi="仿宋" w:eastAsia="仿宋" w:cs="仿宋"/>
          <w:sz w:val="32"/>
          <w:szCs w:val="32"/>
          <w:highlight w:val="none"/>
          <w:lang w:val="en-US" w:eastAsia="zh"/>
        </w:rPr>
        <w:t>3.03</w:t>
      </w:r>
      <w:r>
        <w:rPr>
          <w:rFonts w:hint="default" w:ascii="仿宋" w:hAnsi="仿宋" w:eastAsia="仿宋" w:cs="仿宋"/>
          <w:sz w:val="32"/>
          <w:szCs w:val="32"/>
          <w:highlight w:val="none"/>
          <w:lang w:val="en-US" w:eastAsia="zh-CN"/>
        </w:rPr>
        <w:t>亿元，同比增长1</w:t>
      </w:r>
      <w:r>
        <w:rPr>
          <w:rFonts w:hint="eastAsia" w:ascii="仿宋" w:hAnsi="仿宋" w:eastAsia="仿宋" w:cs="仿宋"/>
          <w:sz w:val="32"/>
          <w:szCs w:val="32"/>
          <w:highlight w:val="none"/>
          <w:lang w:val="en-US" w:eastAsia="zh"/>
        </w:rPr>
        <w:t>5</w:t>
      </w:r>
      <w:r>
        <w:rPr>
          <w:rFonts w:hint="default" w:ascii="仿宋" w:hAnsi="仿宋" w:eastAsia="仿宋" w:cs="仿宋"/>
          <w:sz w:val="32"/>
          <w:szCs w:val="32"/>
          <w:highlight w:val="none"/>
          <w:lang w:val="en-US" w:eastAsia="zh-CN"/>
        </w:rPr>
        <w:t>%；税收完成</w:t>
      </w:r>
      <w:r>
        <w:rPr>
          <w:rFonts w:hint="eastAsia" w:ascii="仿宋" w:hAnsi="仿宋" w:eastAsia="仿宋" w:cs="仿宋"/>
          <w:sz w:val="32"/>
          <w:szCs w:val="32"/>
          <w:highlight w:val="none"/>
          <w:lang w:val="en-US" w:eastAsia="zh"/>
        </w:rPr>
        <w:t>6</w:t>
      </w:r>
      <w:r>
        <w:rPr>
          <w:rFonts w:hint="default" w:ascii="仿宋" w:hAnsi="仿宋" w:eastAsia="仿宋" w:cs="仿宋"/>
          <w:sz w:val="32"/>
          <w:szCs w:val="32"/>
          <w:highlight w:val="none"/>
          <w:lang w:val="en-US" w:eastAsia="zh-CN"/>
        </w:rPr>
        <w:t>.</w:t>
      </w:r>
      <w:r>
        <w:rPr>
          <w:rFonts w:hint="eastAsia" w:ascii="仿宋" w:hAnsi="仿宋" w:eastAsia="仿宋" w:cs="仿宋"/>
          <w:sz w:val="32"/>
          <w:szCs w:val="32"/>
          <w:highlight w:val="none"/>
          <w:lang w:val="en-US" w:eastAsia="zh-CN"/>
        </w:rPr>
        <w:t>5</w:t>
      </w:r>
      <w:r>
        <w:rPr>
          <w:rFonts w:hint="default" w:ascii="仿宋" w:hAnsi="仿宋" w:eastAsia="仿宋" w:cs="仿宋"/>
          <w:sz w:val="32"/>
          <w:szCs w:val="32"/>
          <w:highlight w:val="none"/>
          <w:lang w:val="en-US" w:eastAsia="zh-CN"/>
        </w:rPr>
        <w:t>亿元，同比增长1</w:t>
      </w:r>
      <w:r>
        <w:rPr>
          <w:rFonts w:hint="eastAsia" w:ascii="仿宋" w:hAnsi="仿宋" w:eastAsia="仿宋" w:cs="仿宋"/>
          <w:sz w:val="32"/>
          <w:szCs w:val="32"/>
          <w:highlight w:val="none"/>
          <w:lang w:val="en-US" w:eastAsia="zh"/>
        </w:rPr>
        <w:t>5</w:t>
      </w:r>
      <w:r>
        <w:rPr>
          <w:rFonts w:hint="eastAsia" w:ascii="仿宋" w:hAnsi="仿宋" w:eastAsia="仿宋" w:cs="仿宋"/>
          <w:sz w:val="32"/>
          <w:szCs w:val="32"/>
          <w:highlight w:val="none"/>
          <w:lang w:val="en-US" w:eastAsia="zh-CN"/>
        </w:rPr>
        <w:t>.1</w:t>
      </w:r>
      <w:r>
        <w:rPr>
          <w:rFonts w:hint="default" w:ascii="仿宋" w:hAnsi="仿宋" w:eastAsia="仿宋" w:cs="仿宋"/>
          <w:sz w:val="32"/>
          <w:szCs w:val="32"/>
          <w:highlight w:val="none"/>
          <w:lang w:val="en-US" w:eastAsia="zh-CN"/>
        </w:rPr>
        <w:t>%；进出口总值完成1</w:t>
      </w:r>
      <w:r>
        <w:rPr>
          <w:rFonts w:hint="eastAsia" w:ascii="仿宋" w:hAnsi="仿宋" w:eastAsia="仿宋" w:cs="仿宋"/>
          <w:sz w:val="32"/>
          <w:szCs w:val="32"/>
          <w:highlight w:val="none"/>
          <w:lang w:val="en-US" w:eastAsia="zh"/>
        </w:rPr>
        <w:t>3.3</w:t>
      </w:r>
      <w:r>
        <w:rPr>
          <w:rFonts w:hint="default" w:ascii="仿宋" w:hAnsi="仿宋" w:eastAsia="仿宋" w:cs="仿宋"/>
          <w:sz w:val="32"/>
          <w:szCs w:val="32"/>
          <w:highlight w:val="none"/>
          <w:lang w:val="en-US" w:eastAsia="zh-CN"/>
        </w:rPr>
        <w:t>亿元，同比增长</w:t>
      </w:r>
      <w:r>
        <w:rPr>
          <w:rFonts w:hint="eastAsia" w:ascii="仿宋" w:hAnsi="仿宋" w:eastAsia="仿宋" w:cs="仿宋"/>
          <w:sz w:val="32"/>
          <w:szCs w:val="32"/>
          <w:highlight w:val="none"/>
          <w:lang w:val="en-US" w:eastAsia="zh"/>
        </w:rPr>
        <w:t>20</w:t>
      </w:r>
      <w:r>
        <w:rPr>
          <w:rFonts w:hint="default" w:ascii="仿宋" w:hAnsi="仿宋" w:eastAsia="仿宋" w:cs="仿宋"/>
          <w:sz w:val="32"/>
          <w:szCs w:val="32"/>
          <w:highlight w:val="none"/>
          <w:lang w:val="en-US" w:eastAsia="zh-CN"/>
        </w:rPr>
        <w:t>%。</w:t>
      </w:r>
    </w:p>
    <w:p w14:paraId="76819E88">
      <w:pPr>
        <w:spacing w:line="560" w:lineRule="exact"/>
        <w:ind w:firstLine="640" w:firstLineChars="200"/>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二是项目建设加速推进。建立健全分包项目AB岗制度，向企业提供“多对一”、全流程帮办代办等服务。一年来共帮助跑办各类手续</w:t>
      </w:r>
      <w:r>
        <w:rPr>
          <w:rFonts w:hint="eastAsia" w:ascii="仿宋" w:hAnsi="仿宋" w:eastAsia="仿宋" w:cs="仿宋"/>
          <w:sz w:val="32"/>
          <w:szCs w:val="32"/>
          <w:highlight w:val="none"/>
          <w:lang w:val="en-US" w:eastAsia="zh-CN"/>
        </w:rPr>
        <w:t>7</w:t>
      </w:r>
      <w:r>
        <w:rPr>
          <w:rFonts w:hint="default" w:ascii="仿宋" w:hAnsi="仿宋" w:eastAsia="仿宋" w:cs="仿宋"/>
          <w:sz w:val="32"/>
          <w:szCs w:val="32"/>
          <w:highlight w:val="none"/>
          <w:lang w:val="en-US" w:eastAsia="zh-CN"/>
        </w:rPr>
        <w:t>2件、解决具体问题</w:t>
      </w:r>
      <w:r>
        <w:rPr>
          <w:rFonts w:hint="eastAsia" w:ascii="仿宋" w:hAnsi="仿宋" w:eastAsia="仿宋" w:cs="仿宋"/>
          <w:sz w:val="32"/>
          <w:szCs w:val="32"/>
          <w:highlight w:val="none"/>
          <w:lang w:val="en-US" w:eastAsia="zh-CN"/>
        </w:rPr>
        <w:t>9</w:t>
      </w:r>
      <w:r>
        <w:rPr>
          <w:rFonts w:hint="default" w:ascii="仿宋" w:hAnsi="仿宋" w:eastAsia="仿宋" w:cs="仿宋"/>
          <w:sz w:val="32"/>
          <w:szCs w:val="32"/>
          <w:highlight w:val="none"/>
          <w:lang w:val="en-US" w:eastAsia="zh-CN"/>
        </w:rPr>
        <w:t>3个，推动总投资93亿元的43个项目顺利实施。</w:t>
      </w:r>
    </w:p>
    <w:p w14:paraId="50A08EDA">
      <w:pPr>
        <w:spacing w:line="560" w:lineRule="exact"/>
        <w:ind w:firstLine="640" w:firstLineChars="200"/>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三是招商引资工作有序开展。今年以来，开发区通过参加以商招商、以友引友，以及主动到深圳、青岛、厦门、丹阳等地开展推介活动，共对接各类企业280余家，新签约落地项目14个、总投资21.62亿元。投资超亿元的项目主要有：1.投资5.5亿元的新维科技年产5万吨纤维素乙醇工业化示范项目；2.投资5.08亿元的欣港药业抗结核类原料药+制剂绿色智能制造项目；3.投资3.2亿元的益丰纸业年产10万吨高档箱板纸项目；4.投资1.3亿元中兴机械500台轻量化车轮生产设备建设项目；5.投资1.2亿元的仁合益康高端口服固体制剂系列产品产业化项目（2025）项目；6.投资1.2亿元的冀誉纺织年产12000吨高档纱线项目；7.投资1亿元的周天生物年产0.5万吨农用微生物菌种菌剂、5万吨生物肥料和2000吨生物饲料、1000吨生物保健食品的研发与生产项目</w:t>
      </w:r>
    </w:p>
    <w:p w14:paraId="68775542">
      <w:pPr>
        <w:spacing w:line="560" w:lineRule="exact"/>
        <w:ind w:firstLine="640" w:firstLineChars="200"/>
        <w:rPr>
          <w:rFonts w:hint="eastAsia"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四是企业科技创新不断提升。</w:t>
      </w:r>
      <w:r>
        <w:rPr>
          <w:rFonts w:hint="eastAsia" w:ascii="仿宋" w:hAnsi="仿宋" w:eastAsia="仿宋" w:cs="仿宋"/>
          <w:sz w:val="32"/>
          <w:szCs w:val="32"/>
          <w:highlight w:val="none"/>
          <w:lang w:val="en-US" w:eastAsia="zh"/>
        </w:rPr>
        <w:t>坚持</w:t>
      </w:r>
      <w:r>
        <w:rPr>
          <w:rFonts w:hint="default" w:ascii="仿宋" w:hAnsi="仿宋" w:eastAsia="仿宋" w:cs="仿宋"/>
          <w:sz w:val="32"/>
          <w:szCs w:val="32"/>
          <w:highlight w:val="none"/>
          <w:lang w:val="en-US" w:eastAsia="zh-CN"/>
        </w:rPr>
        <w:t>对 “小升规”企业培育工作进行指导和服务，年底实现奥瑞金、大瀚纺织等企业实现“小升规”入统。加大高新技术企业培育力度，实现新增高新技术企业2家。积极扶持中小微企业，引导企业向“专精特新”方向发展，帮扶企业申报“专精特新”；支持帮扶企业做大做强，仁合益康集团有限公司的石家庄市新型拟钙剂类药物开发创新联合体获批石家庄首批创新联合体，河北华药华恒药业有限公司被认定为市级科技领军企业，河北兴柏药业集团有限公司、仁合益康集团有限公司被评为石家庄市营收百强企业、科技创新百强企业。</w:t>
      </w:r>
      <w:r>
        <w:rPr>
          <w:rFonts w:hint="eastAsia" w:ascii="仿宋" w:hAnsi="仿宋" w:eastAsia="仿宋" w:cs="仿宋"/>
          <w:sz w:val="32"/>
          <w:szCs w:val="32"/>
          <w:highlight w:val="none"/>
          <w:lang w:val="en-US" w:eastAsia="zh"/>
        </w:rPr>
        <w:t>2025年仁合益康在第十一批国家集采中成功中标5个品种，集采产品达到18个，产业发展势头强劲。</w:t>
      </w:r>
      <w:r>
        <w:rPr>
          <w:rFonts w:hint="default" w:ascii="仿宋" w:hAnsi="仿宋" w:eastAsia="仿宋" w:cs="仿宋"/>
          <w:sz w:val="32"/>
          <w:szCs w:val="32"/>
          <w:highlight w:val="none"/>
          <w:lang w:val="en-US" w:eastAsia="zh"/>
        </w:rPr>
        <w:t>河北欣港药业抗结核原料药获WHO认证</w:t>
      </w:r>
      <w:r>
        <w:rPr>
          <w:rFonts w:hint="eastAsia" w:ascii="仿宋" w:hAnsi="仿宋" w:eastAsia="仿宋" w:cs="仿宋"/>
          <w:sz w:val="32"/>
          <w:szCs w:val="32"/>
          <w:highlight w:val="none"/>
          <w:lang w:val="en-US" w:eastAsia="zh-CN"/>
        </w:rPr>
        <w:t>。</w:t>
      </w:r>
    </w:p>
    <w:p w14:paraId="0A79218E">
      <w:pPr>
        <w:spacing w:line="560" w:lineRule="exact"/>
        <w:ind w:firstLine="640" w:firstLineChars="200"/>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五是债券项目如期实施。</w:t>
      </w:r>
      <w:r>
        <w:rPr>
          <w:rFonts w:hint="eastAsia" w:ascii="仿宋" w:hAnsi="仿宋" w:eastAsia="仿宋" w:cs="仿宋"/>
          <w:sz w:val="32"/>
          <w:szCs w:val="32"/>
          <w:highlight w:val="none"/>
          <w:lang w:val="en-US" w:eastAsia="zh-CN"/>
        </w:rPr>
        <w:t>2025年谋划实施了</w:t>
      </w:r>
      <w:r>
        <w:rPr>
          <w:rFonts w:hint="default" w:ascii="仿宋" w:hAnsi="仿宋" w:eastAsia="仿宋" w:cs="仿宋"/>
          <w:sz w:val="32"/>
          <w:szCs w:val="32"/>
          <w:highlight w:val="none"/>
          <w:lang w:val="en-US" w:eastAsia="zh-CN"/>
        </w:rPr>
        <w:t>总投资</w:t>
      </w:r>
      <w:r>
        <w:rPr>
          <w:rFonts w:hint="eastAsia" w:ascii="仿宋" w:hAnsi="仿宋" w:eastAsia="仿宋" w:cs="仿宋"/>
          <w:sz w:val="32"/>
          <w:szCs w:val="32"/>
          <w:highlight w:val="none"/>
          <w:lang w:val="en-US" w:eastAsia="zh"/>
        </w:rPr>
        <w:t>1.74亿</w:t>
      </w:r>
      <w:r>
        <w:rPr>
          <w:rFonts w:hint="default" w:ascii="仿宋" w:hAnsi="仿宋" w:eastAsia="仿宋" w:cs="仿宋"/>
          <w:sz w:val="32"/>
          <w:szCs w:val="32"/>
          <w:highlight w:val="none"/>
          <w:lang w:val="en-US" w:eastAsia="zh-CN"/>
        </w:rPr>
        <w:t>元的</w:t>
      </w:r>
      <w:r>
        <w:rPr>
          <w:rFonts w:hint="eastAsia" w:ascii="仿宋" w:hAnsi="仿宋" w:eastAsia="仿宋" w:cs="仿宋"/>
          <w:sz w:val="32"/>
          <w:szCs w:val="32"/>
          <w:highlight w:val="none"/>
          <w:lang w:val="en-US" w:eastAsia="zh"/>
        </w:rPr>
        <w:t>赵县碧水污水处理厂工程中水回用建设工程项目已完成可研代项目建议书批复，正在进行初步设计</w:t>
      </w:r>
      <w:r>
        <w:rPr>
          <w:rFonts w:hint="default" w:ascii="仿宋" w:hAnsi="仿宋" w:eastAsia="仿宋" w:cs="仿宋"/>
          <w:sz w:val="32"/>
          <w:szCs w:val="32"/>
          <w:highlight w:val="none"/>
          <w:lang w:val="en-US" w:eastAsia="zh-CN"/>
        </w:rPr>
        <w:t>。</w:t>
      </w:r>
    </w:p>
    <w:p w14:paraId="7BDA52CB">
      <w:pPr>
        <w:spacing w:line="560" w:lineRule="exact"/>
        <w:ind w:firstLine="640" w:firstLineChars="200"/>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六是“标准地+承诺制”工作持续深化。9项区域评估已完成，应用成果水土保持评估4个、环境影响评价15个。完成土地组卷147.09亩，出让“标准地”</w:t>
      </w:r>
      <w:r>
        <w:rPr>
          <w:rFonts w:hint="eastAsia" w:ascii="仿宋" w:hAnsi="仿宋" w:eastAsia="仿宋" w:cs="仿宋"/>
          <w:sz w:val="32"/>
          <w:szCs w:val="32"/>
          <w:highlight w:val="none"/>
          <w:lang w:val="en-US" w:eastAsia="zh-CN"/>
        </w:rPr>
        <w:t>283.82</w:t>
      </w:r>
      <w:r>
        <w:rPr>
          <w:rFonts w:hint="default" w:ascii="仿宋" w:hAnsi="仿宋" w:eastAsia="仿宋" w:cs="仿宋"/>
          <w:sz w:val="32"/>
          <w:szCs w:val="32"/>
          <w:highlight w:val="none"/>
          <w:lang w:val="en-US" w:eastAsia="zh-CN"/>
        </w:rPr>
        <w:t>亩。</w:t>
      </w:r>
    </w:p>
    <w:p w14:paraId="6B72825D">
      <w:pPr>
        <w:spacing w:line="560" w:lineRule="exact"/>
        <w:ind w:firstLine="640" w:firstLineChars="200"/>
        <w:rPr>
          <w:rFonts w:hint="eastAsia" w:ascii="仿宋" w:hAnsi="仿宋" w:eastAsia="仿宋" w:cs="仿宋"/>
          <w:sz w:val="32"/>
          <w:szCs w:val="32"/>
          <w:highlight w:val="none"/>
          <w:lang w:val="en-US" w:eastAsia="zh"/>
        </w:rPr>
      </w:pPr>
      <w:r>
        <w:rPr>
          <w:rFonts w:hint="default" w:ascii="仿宋" w:hAnsi="仿宋" w:eastAsia="仿宋" w:cs="仿宋"/>
          <w:sz w:val="32"/>
          <w:szCs w:val="32"/>
          <w:highlight w:val="none"/>
          <w:lang w:val="en-US" w:eastAsia="zh-CN"/>
        </w:rPr>
        <w:t>七是化工园区建设稳步推进。省应急厅、市应急局多次调度、复核各化工园区，园区的规划、基础设施、封闭化管理、信息化平台建设等工作得到全面提升。赵县生物产业园通过了省应急厅组织的安全等级复核，实现了达到D级安全风险等级的目标；9月份通过了省工信厅组织的化工园区认定复核。地下水水质持续改善，大气污染治理、污水达标排放指标进一步提升；积极开展双控预防、各种应急演练、信息化监管，实现安全生产零事故。</w:t>
      </w:r>
    </w:p>
    <w:p w14:paraId="7D5ADD7A">
      <w:pPr>
        <w:spacing w:line="560" w:lineRule="exact"/>
        <w:ind w:firstLine="640" w:firstLineChars="200"/>
        <w:rPr>
          <w:rFonts w:hint="eastAsia" w:ascii="仿宋" w:hAnsi="仿宋" w:eastAsia="仿宋" w:cs="仿宋"/>
          <w:sz w:val="32"/>
          <w:szCs w:val="32"/>
          <w:highlight w:val="none"/>
          <w:lang w:val="en-US" w:eastAsia="zh"/>
        </w:rPr>
      </w:pPr>
      <w:r>
        <w:rPr>
          <w:rFonts w:hint="eastAsia" w:ascii="仿宋" w:hAnsi="仿宋" w:eastAsia="仿宋" w:cs="仿宋"/>
          <w:sz w:val="32"/>
          <w:szCs w:val="32"/>
          <w:highlight w:val="none"/>
          <w:lang w:val="en-US" w:eastAsia="zh-CN"/>
        </w:rPr>
        <w:t>八</w:t>
      </w:r>
      <w:r>
        <w:rPr>
          <w:rFonts w:hint="default" w:ascii="仿宋" w:hAnsi="仿宋" w:eastAsia="仿宋" w:cs="仿宋"/>
          <w:sz w:val="32"/>
          <w:szCs w:val="32"/>
          <w:highlight w:val="none"/>
          <w:lang w:val="en-US" w:eastAsia="zh-CN"/>
        </w:rPr>
        <w:t>是环境保护工作情况。</w:t>
      </w:r>
      <w:r>
        <w:rPr>
          <w:rFonts w:hint="eastAsia" w:ascii="仿宋" w:hAnsi="仿宋" w:eastAsia="仿宋" w:cs="仿宋"/>
          <w:sz w:val="32"/>
          <w:szCs w:val="32"/>
          <w:highlight w:val="none"/>
          <w:lang w:val="en-US" w:eastAsia="zh"/>
        </w:rPr>
        <w:t>积极落实网格化责任体系，在原有《开发区扬尘污染防治专项行动方案》等各类方案基础上开展扬尘专项整治行动，日常按照“六个百分百”和“两个全覆盖”要求对现有的11家工地进行检查并跟踪整改。并会同县生态环境分局做好工业企业排污、重点污染源管控、散乱污企业排查等工作，对排查发现的两家散乱污企业进行了整治，推动了开发区空气质量平稳向好。</w:t>
      </w:r>
      <w:r>
        <w:rPr>
          <w:rFonts w:hint="eastAsia" w:ascii="仿宋" w:hAnsi="仿宋" w:eastAsia="仿宋" w:cs="仿宋"/>
          <w:sz w:val="32"/>
          <w:szCs w:val="32"/>
          <w:highlight w:val="none"/>
          <w:lang w:val="en-US" w:eastAsia="zh"/>
        </w:rPr>
        <w:tab/>
      </w:r>
    </w:p>
    <w:p w14:paraId="0900091A">
      <w:pPr>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九</w:t>
      </w:r>
      <w:r>
        <w:rPr>
          <w:rFonts w:hint="default" w:ascii="仿宋" w:hAnsi="仿宋" w:eastAsia="仿宋" w:cs="仿宋"/>
          <w:sz w:val="32"/>
          <w:szCs w:val="32"/>
          <w:highlight w:val="none"/>
          <w:lang w:val="en-US" w:eastAsia="zh-CN"/>
        </w:rPr>
        <w:t>是安全生产工作情况。严格落实“一岗双责”要求，坚持“三个必须”，实行领导干部带头包联，全体人员分包责任制，推动企业及项目工地落实安全生产主体责任，与各企业及项目工地签订安全生产责任书，联合企业及项目工地开展各项应急演练，督促企业及项目工地不断完善安全风险防控体系，提高安全管理能力。今年截至目前共排查企业、项目工地</w:t>
      </w:r>
      <w:r>
        <w:rPr>
          <w:rFonts w:hint="eastAsia" w:ascii="仿宋" w:hAnsi="仿宋" w:eastAsia="仿宋" w:cs="仿宋"/>
          <w:sz w:val="32"/>
          <w:szCs w:val="32"/>
          <w:highlight w:val="none"/>
          <w:lang w:val="en-US" w:eastAsia="zh"/>
        </w:rPr>
        <w:t>430</w:t>
      </w:r>
      <w:r>
        <w:rPr>
          <w:rFonts w:hint="default" w:ascii="仿宋" w:hAnsi="仿宋" w:eastAsia="仿宋" w:cs="仿宋"/>
          <w:sz w:val="32"/>
          <w:szCs w:val="32"/>
          <w:highlight w:val="none"/>
          <w:lang w:val="en-US" w:eastAsia="zh-CN"/>
        </w:rPr>
        <w:t>余次，查出安全隐患</w:t>
      </w:r>
      <w:r>
        <w:rPr>
          <w:rFonts w:hint="eastAsia" w:ascii="仿宋" w:hAnsi="仿宋" w:eastAsia="仿宋" w:cs="仿宋"/>
          <w:sz w:val="32"/>
          <w:szCs w:val="32"/>
          <w:highlight w:val="none"/>
          <w:lang w:val="en-US" w:eastAsia="zh-CN"/>
        </w:rPr>
        <w:t>100</w:t>
      </w:r>
      <w:r>
        <w:rPr>
          <w:rFonts w:hint="eastAsia" w:ascii="仿宋" w:hAnsi="仿宋" w:eastAsia="仿宋" w:cs="仿宋"/>
          <w:sz w:val="32"/>
          <w:szCs w:val="32"/>
          <w:highlight w:val="none"/>
          <w:lang w:val="en-US" w:eastAsia="zh"/>
        </w:rPr>
        <w:t>余</w:t>
      </w:r>
      <w:r>
        <w:rPr>
          <w:rFonts w:hint="eastAsia" w:ascii="仿宋" w:hAnsi="仿宋" w:eastAsia="仿宋" w:cs="仿宋"/>
          <w:sz w:val="32"/>
          <w:szCs w:val="32"/>
          <w:highlight w:val="none"/>
          <w:lang w:val="en-US" w:eastAsia="zh-CN"/>
        </w:rPr>
        <w:t>处</w:t>
      </w:r>
      <w:r>
        <w:rPr>
          <w:rFonts w:hint="default" w:ascii="仿宋" w:hAnsi="仿宋" w:eastAsia="仿宋" w:cs="仿宋"/>
          <w:sz w:val="32"/>
          <w:szCs w:val="32"/>
          <w:highlight w:val="none"/>
          <w:lang w:val="en-US" w:eastAsia="zh-CN"/>
        </w:rPr>
        <w:t>，全部整改完成。</w:t>
      </w:r>
    </w:p>
    <w:p w14:paraId="50C2C6D7">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四、评价结论和评价等级</w:t>
      </w:r>
    </w:p>
    <w:p w14:paraId="7A93C802">
      <w:pPr>
        <w:spacing w:line="560" w:lineRule="exact"/>
        <w:ind w:firstLine="640" w:firstLineChars="200"/>
        <w:rPr>
          <w:rFonts w:ascii="仿宋" w:hAnsi="仿宋" w:eastAsia="仿宋"/>
          <w:sz w:val="32"/>
          <w:szCs w:val="32"/>
          <w:highlight w:val="none"/>
        </w:rPr>
      </w:pPr>
      <w:r>
        <w:rPr>
          <w:rFonts w:hint="eastAsia" w:ascii="仿宋" w:hAnsi="仿宋" w:eastAsia="仿宋" w:cs="仿宋"/>
          <w:sz w:val="32"/>
          <w:szCs w:val="32"/>
          <w:highlight w:val="none"/>
        </w:rPr>
        <w:t>根据部门职责定位和各项工作履职</w:t>
      </w:r>
      <w:r>
        <w:rPr>
          <w:rFonts w:hint="default" w:ascii="仿宋" w:hAnsi="仿宋" w:eastAsia="仿宋" w:cs="仿宋"/>
          <w:sz w:val="32"/>
          <w:szCs w:val="32"/>
          <w:highlight w:val="none"/>
          <w:lang w:val="en-US"/>
        </w:rPr>
        <w:t>,</w:t>
      </w:r>
      <w:r>
        <w:rPr>
          <w:rFonts w:hint="eastAsia" w:ascii="仿宋" w:hAnsi="仿宋" w:eastAsia="仿宋" w:cstheme="minorBidi"/>
          <w:kern w:val="2"/>
          <w:sz w:val="32"/>
          <w:szCs w:val="32"/>
          <w:lang w:val="en-US" w:eastAsia="zh-CN" w:bidi="ar-SA"/>
        </w:rPr>
        <w:t>对预算项目实际情况，通过座谈调研、查阅项目管理制度、财务管理制度等内业资料的形式，采用比较分析法，辅以公众评判法对本项目专项资金使用情况进行绩效评价</w:t>
      </w:r>
      <w:r>
        <w:rPr>
          <w:rFonts w:hint="default" w:ascii="仿宋" w:hAnsi="仿宋" w:eastAsia="仿宋" w:cstheme="minorBidi"/>
          <w:kern w:val="2"/>
          <w:sz w:val="32"/>
          <w:szCs w:val="32"/>
          <w:lang w:val="en-US" w:eastAsia="zh-CN" w:bidi="ar-SA"/>
        </w:rPr>
        <w:t>,</w:t>
      </w:r>
      <w:r>
        <w:rPr>
          <w:rFonts w:hint="eastAsia" w:ascii="仿宋" w:hAnsi="仿宋" w:eastAsia="仿宋" w:cs="仿宋"/>
          <w:sz w:val="32"/>
          <w:szCs w:val="32"/>
          <w:highlight w:val="none"/>
        </w:rPr>
        <w:t>进行综合评价，总得分为</w:t>
      </w:r>
      <w:r>
        <w:rPr>
          <w:rFonts w:hint="eastAsia" w:ascii="仿宋" w:hAnsi="仿宋" w:eastAsia="仿宋" w:cs="仿宋"/>
          <w:sz w:val="32"/>
          <w:szCs w:val="32"/>
          <w:highlight w:val="none"/>
          <w:lang w:val="en-US" w:eastAsia="zh-CN"/>
        </w:rPr>
        <w:t>85</w:t>
      </w:r>
      <w:r>
        <w:rPr>
          <w:rFonts w:hint="eastAsia" w:ascii="仿宋" w:hAnsi="仿宋" w:eastAsia="仿宋" w:cs="仿宋"/>
          <w:sz w:val="32"/>
          <w:szCs w:val="32"/>
          <w:highlight w:val="none"/>
        </w:rPr>
        <w:t>分，综合绩效评价等级为：优秀。</w:t>
      </w:r>
    </w:p>
    <w:p w14:paraId="0760A500">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五、存在的问题及改进措施</w:t>
      </w:r>
    </w:p>
    <w:p w14:paraId="615815E3">
      <w:pPr>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1F4F15A6">
      <w:pPr>
        <w:pStyle w:val="2"/>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highlight w:val="none"/>
        </w:rPr>
      </w:pPr>
      <w:r>
        <w:rPr>
          <w:rFonts w:hint="eastAsia" w:ascii="仿宋" w:hAnsi="仿宋" w:eastAsia="仿宋" w:cs="仿宋"/>
          <w:sz w:val="32"/>
          <w:szCs w:val="32"/>
          <w:highlight w:val="none"/>
        </w:rPr>
        <w:t>专项债券资金已到位，因</w:t>
      </w:r>
      <w:r>
        <w:rPr>
          <w:rFonts w:hint="eastAsia" w:ascii="仿宋" w:hAnsi="仿宋" w:eastAsia="仿宋" w:cs="仿宋"/>
          <w:sz w:val="32"/>
          <w:szCs w:val="32"/>
          <w:highlight w:val="none"/>
          <w:lang w:eastAsia="zh-CN"/>
        </w:rPr>
        <w:t>施工进度慢</w:t>
      </w:r>
      <w:r>
        <w:rPr>
          <w:rFonts w:hint="eastAsia" w:ascii="仿宋" w:hAnsi="仿宋" w:eastAsia="仿宋" w:cs="仿宋"/>
          <w:sz w:val="32"/>
          <w:szCs w:val="32"/>
          <w:highlight w:val="none"/>
        </w:rPr>
        <w:t>资金执行未能按时序到位</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在后续工程建设中，必将加快</w:t>
      </w:r>
      <w:r>
        <w:rPr>
          <w:rFonts w:hint="eastAsia" w:ascii="仿宋" w:hAnsi="仿宋" w:eastAsia="仿宋" w:cs="仿宋"/>
          <w:sz w:val="32"/>
          <w:szCs w:val="32"/>
          <w:highlight w:val="none"/>
          <w:lang w:eastAsia="zh-CN"/>
        </w:rPr>
        <w:t>建设进度</w:t>
      </w:r>
      <w:r>
        <w:rPr>
          <w:rFonts w:hint="eastAsia" w:ascii="仿宋" w:hAnsi="仿宋" w:eastAsia="仿宋" w:cs="仿宋"/>
          <w:sz w:val="32"/>
          <w:szCs w:val="32"/>
          <w:highlight w:val="none"/>
        </w:rPr>
        <w:t>，按时序进度支付专项债券金额。</w:t>
      </w:r>
    </w:p>
    <w:p w14:paraId="2A1CDAED">
      <w:pPr>
        <w:numPr>
          <w:ilvl w:val="0"/>
          <w:numId w:val="5"/>
        </w:numPr>
        <w:spacing w:line="560" w:lineRule="exact"/>
        <w:ind w:left="0" w:leftChars="0"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针对问题提出具体的改进措施或建议</w:t>
      </w:r>
    </w:p>
    <w:p w14:paraId="2D944882">
      <w:pPr>
        <w:keepNext w:val="0"/>
        <w:keepLines w:val="0"/>
        <w:pageBreakBefore w:val="0"/>
        <w:widowControl w:val="0"/>
        <w:kinsoku/>
        <w:wordWrap/>
        <w:overflowPunct/>
        <w:topLinePunct w:val="0"/>
        <w:autoSpaceDE/>
        <w:autoSpaceDN/>
        <w:bidi w:val="0"/>
        <w:adjustRightInd/>
        <w:snapToGrid/>
        <w:ind w:firstLine="640" w:firstLineChars="200"/>
        <w:textAlignment w:val="auto"/>
        <w:rPr>
          <w:highlight w:val="none"/>
        </w:rPr>
      </w:pPr>
      <w:r>
        <w:rPr>
          <w:rFonts w:hint="eastAsia" w:ascii="仿宋" w:hAnsi="仿宋" w:eastAsia="仿宋" w:cs="仿宋"/>
          <w:sz w:val="32"/>
          <w:szCs w:val="32"/>
          <w:highlight w:val="none"/>
        </w:rPr>
        <w:t>一是</w:t>
      </w:r>
      <w:r>
        <w:rPr>
          <w:rFonts w:hint="eastAsia" w:ascii="仿宋" w:hAnsi="仿宋" w:eastAsia="仿宋" w:cs="仿宋"/>
          <w:sz w:val="32"/>
          <w:szCs w:val="32"/>
          <w:highlight w:val="none"/>
          <w:lang w:eastAsia="zh-CN"/>
        </w:rPr>
        <w:t>调整</w:t>
      </w:r>
      <w:r>
        <w:rPr>
          <w:rFonts w:hint="eastAsia" w:ascii="仿宋" w:hAnsi="仿宋" w:eastAsia="仿宋" w:cs="仿宋"/>
          <w:sz w:val="32"/>
          <w:szCs w:val="32"/>
          <w:highlight w:val="none"/>
        </w:rPr>
        <w:t>相关</w:t>
      </w:r>
      <w:r>
        <w:rPr>
          <w:rFonts w:hint="eastAsia" w:ascii="仿宋" w:hAnsi="仿宋" w:eastAsia="仿宋" w:cs="仿宋"/>
          <w:sz w:val="32"/>
          <w:szCs w:val="32"/>
          <w:highlight w:val="none"/>
          <w:lang w:eastAsia="zh-CN"/>
        </w:rPr>
        <w:t>工序</w:t>
      </w:r>
      <w:r>
        <w:rPr>
          <w:rFonts w:hint="eastAsia" w:ascii="仿宋" w:hAnsi="仿宋" w:eastAsia="仿宋" w:cs="仿宋"/>
          <w:sz w:val="32"/>
          <w:szCs w:val="32"/>
          <w:highlight w:val="none"/>
        </w:rPr>
        <w:t>，及时按时序完成资金拨付。二是</w:t>
      </w:r>
      <w:r>
        <w:rPr>
          <w:rFonts w:hint="eastAsia" w:ascii="仿宋" w:hAnsi="仿宋" w:eastAsia="仿宋" w:cs="仿宋"/>
          <w:sz w:val="32"/>
          <w:szCs w:val="32"/>
          <w:highlight w:val="none"/>
          <w:lang w:val="en-US" w:eastAsia="zh-CN"/>
        </w:rPr>
        <w:t>加大施工力度，务必按时高质量完成进度任务。</w:t>
      </w:r>
    </w:p>
    <w:p w14:paraId="6832483C">
      <w:pPr>
        <w:numPr>
          <w:ilvl w:val="0"/>
          <w:numId w:val="6"/>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w:t>
      </w:r>
    </w:p>
    <w:p w14:paraId="30F3397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袁新宇  河北赵县经济开发区管理委员会 管委会副主任</w:t>
      </w:r>
    </w:p>
    <w:p w14:paraId="0BB0EBB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冯佩芸  河北赵县经济开发区管理委员会 办公室主任</w:t>
      </w:r>
    </w:p>
    <w:p w14:paraId="147AA5E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李泽泽  河北赵县经济开发区管理委员会 财政局局长</w:t>
      </w:r>
    </w:p>
    <w:p w14:paraId="73023A4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张宗昊  河北赵县经济开发区管理委员会 招商引资局局长</w:t>
      </w:r>
    </w:p>
    <w:p w14:paraId="79BF595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王晓川  河北赵县经济开发区管理委员会 经济发展局局长</w:t>
      </w:r>
    </w:p>
    <w:p w14:paraId="326BA2A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ascii="仿宋" w:hAnsi="仿宋" w:eastAsia="仿宋"/>
        </w:rPr>
      </w:pPr>
      <w:r>
        <w:rPr>
          <w:rFonts w:hint="eastAsia" w:ascii="仿宋" w:hAnsi="仿宋" w:eastAsia="仿宋" w:cs="仿宋"/>
          <w:sz w:val="28"/>
          <w:szCs w:val="28"/>
          <w:lang w:val="en-US" w:eastAsia="zh-CN"/>
        </w:rPr>
        <w:t>白</w:t>
      </w:r>
      <w:r>
        <w:rPr>
          <w:rFonts w:hint="eastAsia" w:ascii="仿宋" w:hAnsi="仿宋" w:eastAsia="仿宋" w:cs="仿宋"/>
          <w:color w:val="FFFFFF" w:themeColor="background1"/>
          <w:sz w:val="28"/>
          <w:szCs w:val="28"/>
          <w:lang w:val="en-US" w:eastAsia="zh-CN"/>
        </w:rPr>
        <w:t>一</w:t>
      </w:r>
      <w:r>
        <w:rPr>
          <w:rFonts w:hint="eastAsia" w:ascii="仿宋" w:hAnsi="仿宋" w:eastAsia="仿宋" w:cs="仿宋"/>
          <w:sz w:val="28"/>
          <w:szCs w:val="28"/>
          <w:lang w:val="en-US" w:eastAsia="zh-CN"/>
        </w:rPr>
        <w:t>佳  河北赵县经济开发区管理委员会 建设发展局局长</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Times-Roman">
    <w:altName w:val="Times New Roman"/>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29301">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4DD35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7870AB"/>
    <w:multiLevelType w:val="singleLevel"/>
    <w:tmpl w:val="857870AB"/>
    <w:lvl w:ilvl="0" w:tentative="0">
      <w:start w:val="6"/>
      <w:numFmt w:val="chineseCounting"/>
      <w:suff w:val="nothing"/>
      <w:lvlText w:val="%1、"/>
      <w:lvlJc w:val="left"/>
      <w:rPr>
        <w:rFonts w:hint="eastAsia"/>
      </w:rPr>
    </w:lvl>
  </w:abstractNum>
  <w:abstractNum w:abstractNumId="1">
    <w:nsid w:val="A06FAA36"/>
    <w:multiLevelType w:val="singleLevel"/>
    <w:tmpl w:val="A06FAA36"/>
    <w:lvl w:ilvl="0" w:tentative="0">
      <w:start w:val="1"/>
      <w:numFmt w:val="decimal"/>
      <w:lvlText w:val="%1."/>
      <w:lvlJc w:val="left"/>
      <w:pPr>
        <w:tabs>
          <w:tab w:val="left" w:pos="312"/>
        </w:tabs>
      </w:p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647E6C43"/>
    <w:multiLevelType w:val="singleLevel"/>
    <w:tmpl w:val="647E6C43"/>
    <w:lvl w:ilvl="0" w:tentative="0">
      <w:start w:val="2"/>
      <w:numFmt w:val="chineseCounting"/>
      <w:suff w:val="nothing"/>
      <w:lvlText w:val="（%1）"/>
      <w:lvlJc w:val="left"/>
      <w:rPr>
        <w:rFonts w:hint="eastAsia"/>
      </w:rPr>
    </w:lvl>
  </w:abstractNum>
  <w:abstractNum w:abstractNumId="5">
    <w:nsid w:val="7CDA4701"/>
    <w:multiLevelType w:val="singleLevel"/>
    <w:tmpl w:val="7CDA4701"/>
    <w:lvl w:ilvl="0" w:tentative="0">
      <w:start w:val="2"/>
      <w:numFmt w:val="decimal"/>
      <w:suff w:val="nothing"/>
      <w:lvlText w:val="（%1）"/>
      <w:lvlJc w:val="left"/>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066A48"/>
    <w:rsid w:val="01B104CA"/>
    <w:rsid w:val="02106AB0"/>
    <w:rsid w:val="02B43A28"/>
    <w:rsid w:val="046F331E"/>
    <w:rsid w:val="06E201DD"/>
    <w:rsid w:val="07956271"/>
    <w:rsid w:val="08E31CB4"/>
    <w:rsid w:val="09721397"/>
    <w:rsid w:val="0BB63BED"/>
    <w:rsid w:val="0C0F0A7D"/>
    <w:rsid w:val="0EB97A43"/>
    <w:rsid w:val="0EBD2122"/>
    <w:rsid w:val="0F214EAE"/>
    <w:rsid w:val="11B71E6A"/>
    <w:rsid w:val="1AAF0063"/>
    <w:rsid w:val="1B1408EA"/>
    <w:rsid w:val="1BE140DE"/>
    <w:rsid w:val="1D491BD5"/>
    <w:rsid w:val="248C197D"/>
    <w:rsid w:val="252959AF"/>
    <w:rsid w:val="277A6671"/>
    <w:rsid w:val="281A529E"/>
    <w:rsid w:val="292D35B7"/>
    <w:rsid w:val="29FB2613"/>
    <w:rsid w:val="2D8F379E"/>
    <w:rsid w:val="33EB6CFF"/>
    <w:rsid w:val="35A12947"/>
    <w:rsid w:val="37387040"/>
    <w:rsid w:val="3A290B99"/>
    <w:rsid w:val="3A7C2BAF"/>
    <w:rsid w:val="3B625C0A"/>
    <w:rsid w:val="3CB90586"/>
    <w:rsid w:val="3CEE1963"/>
    <w:rsid w:val="3F772545"/>
    <w:rsid w:val="406665E0"/>
    <w:rsid w:val="436B78D3"/>
    <w:rsid w:val="446A2417"/>
    <w:rsid w:val="4C92075D"/>
    <w:rsid w:val="4C9C27FE"/>
    <w:rsid w:val="512260B4"/>
    <w:rsid w:val="52BD6ACB"/>
    <w:rsid w:val="53396FEA"/>
    <w:rsid w:val="55537534"/>
    <w:rsid w:val="561A74F1"/>
    <w:rsid w:val="56C81648"/>
    <w:rsid w:val="597244E8"/>
    <w:rsid w:val="5D2F09BC"/>
    <w:rsid w:val="5EB71C30"/>
    <w:rsid w:val="60C77BB5"/>
    <w:rsid w:val="65E51015"/>
    <w:rsid w:val="66AF0CE5"/>
    <w:rsid w:val="692220A1"/>
    <w:rsid w:val="6AC537CF"/>
    <w:rsid w:val="6AFF300A"/>
    <w:rsid w:val="6E5B14A6"/>
    <w:rsid w:val="711B255E"/>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Normal Indent"/>
    <w:basedOn w:val="1"/>
    <w:next w:val="4"/>
    <w:qFormat/>
    <w:uiPriority w:val="0"/>
    <w:pPr>
      <w:ind w:firstLine="420" w:firstLineChars="200"/>
    </w:pPr>
  </w:style>
  <w:style w:type="paragraph" w:styleId="4">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2729</Words>
  <Characters>2822</Characters>
  <Lines>4</Lines>
  <Paragraphs>1</Paragraphs>
  <TotalTime>13</TotalTime>
  <ScaleCrop>false</ScaleCrop>
  <LinksUpToDate>false</LinksUpToDate>
  <CharactersWithSpaces>2870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S</cp:lastModifiedBy>
  <cp:lastPrinted>2024-03-06T07:40:00Z</cp:lastPrinted>
  <dcterms:modified xsi:type="dcterms:W3CDTF">2026-04-17T01:55:20Z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eyJoZGlkIjoiNzQyYTM0N2M2MmZkMDFiYTNlMzkwZGE4NTZhY2U3NDQiLCJ1c2VySWQiOiI0NzIzNjU3NTMifQ==</vt:lpwstr>
  </property>
</Properties>
</file>