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E48417">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4DECF9DD">
      <w:pPr>
        <w:spacing w:line="560" w:lineRule="exact"/>
        <w:jc w:val="center"/>
        <w:rPr>
          <w:rFonts w:ascii="宋体" w:hAnsi="宋体" w:cs="宋体"/>
          <w:b/>
          <w:bCs/>
          <w:sz w:val="44"/>
          <w:szCs w:val="44"/>
        </w:rPr>
      </w:pPr>
    </w:p>
    <w:p w14:paraId="6E53A6C7">
      <w:pPr>
        <w:spacing w:line="560" w:lineRule="exact"/>
        <w:jc w:val="center"/>
        <w:rPr>
          <w:rFonts w:ascii="宋体" w:hAnsi="宋体" w:cs="宋体"/>
          <w:b/>
          <w:bCs/>
          <w:sz w:val="44"/>
          <w:szCs w:val="44"/>
        </w:rPr>
      </w:pPr>
      <w:r>
        <w:rPr>
          <w:rFonts w:hint="eastAsia" w:ascii="宋体" w:hAnsi="宋体" w:cs="宋体"/>
          <w:b/>
          <w:bCs/>
          <w:sz w:val="44"/>
          <w:szCs w:val="44"/>
          <w:lang w:val="en-US" w:eastAsia="zh-CN"/>
        </w:rPr>
        <w:t>赵县农业农村局</w:t>
      </w:r>
      <w:r>
        <w:rPr>
          <w:rFonts w:hint="eastAsia" w:ascii="宋体" w:hAnsi="宋体" w:cs="宋体"/>
          <w:b/>
          <w:bCs/>
          <w:sz w:val="44"/>
          <w:szCs w:val="44"/>
        </w:rPr>
        <w:t>部门</w:t>
      </w:r>
    </w:p>
    <w:p w14:paraId="4065CA0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6B37EB4">
      <w:pPr>
        <w:spacing w:line="560" w:lineRule="exact"/>
        <w:jc w:val="center"/>
        <w:rPr>
          <w:rFonts w:ascii="华文楷体" w:eastAsia="华文楷体"/>
          <w:sz w:val="32"/>
          <w:szCs w:val="32"/>
        </w:rPr>
      </w:pPr>
    </w:p>
    <w:p w14:paraId="69F9AEE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w:t>
      </w:r>
      <w:r>
        <w:rPr>
          <w:rFonts w:hint="eastAsia" w:ascii="仿宋" w:hAnsi="仿宋" w:eastAsia="仿宋"/>
          <w:sz w:val="32"/>
          <w:szCs w:val="32"/>
          <w:lang w:eastAsia="zh-CN"/>
        </w:rPr>
        <w:t>、县</w:t>
      </w:r>
      <w:r>
        <w:rPr>
          <w:rFonts w:hint="eastAsia" w:ascii="仿宋" w:hAnsi="仿宋" w:eastAsia="仿宋"/>
          <w:sz w:val="32"/>
          <w:szCs w:val="32"/>
        </w:rPr>
        <w:t>政府《全面落实预算绩效管理的实施意见》（[2019]77）文件精神，遵循“科学性、规范性、客观性和公正性”的原则，对</w:t>
      </w:r>
      <w:r>
        <w:rPr>
          <w:rFonts w:hint="eastAsia" w:ascii="仿宋" w:hAnsi="仿宋" w:eastAsia="仿宋"/>
          <w:sz w:val="32"/>
          <w:szCs w:val="32"/>
          <w:lang w:val="en-US" w:eastAsia="zh-CN"/>
        </w:rPr>
        <w:t>赵县农业农村局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83E38F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10C34FD">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3D50998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1、参与</w:t>
      </w:r>
      <w:r>
        <w:rPr>
          <w:rFonts w:hint="eastAsia" w:ascii="仿宋" w:hAnsi="仿宋" w:eastAsia="仿宋"/>
          <w:sz w:val="32"/>
          <w:szCs w:val="32"/>
          <w:lang w:eastAsia="zh-CN"/>
        </w:rPr>
        <w:t>拟订</w:t>
      </w:r>
      <w:r>
        <w:rPr>
          <w:rFonts w:hint="eastAsia" w:ascii="仿宋" w:hAnsi="仿宋" w:eastAsia="仿宋"/>
          <w:sz w:val="32"/>
          <w:szCs w:val="32"/>
        </w:rPr>
        <w:t>全县农业、林业、畜牧业、渔业、农业机械和农村经济发展战略，推进农业依法行政、协调农口部门的涉农工作、指导县域农村经济的发展.</w:t>
      </w:r>
    </w:p>
    <w:p w14:paraId="22891CAD">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2、参与指导农村经济体制改革，指导监督农村土地承包经营、确权登记、耕地使用权流转和承包纠纷仲裁管理、农村林地承包、确权登记和林权流转、退耕还林和林权纠纷调处工作；指导、监督减轻农民负担和村民筹资筹劳管理工作；负责农村集体财产和财务的审计监管；指导、扶持农业社会化服务体系、农村合作经济组织、农民专业合作社的建设和发展。</w:t>
      </w:r>
    </w:p>
    <w:p w14:paraId="2034A855">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3、负责动物重大疫病及农作物、林业重大病虫害防控；参与</w:t>
      </w:r>
      <w:r>
        <w:rPr>
          <w:rFonts w:hint="eastAsia" w:ascii="仿宋" w:hAnsi="仿宋" w:eastAsia="仿宋"/>
          <w:sz w:val="32"/>
          <w:szCs w:val="32"/>
          <w:lang w:eastAsia="zh-CN"/>
        </w:rPr>
        <w:t>拟订</w:t>
      </w:r>
      <w:r>
        <w:rPr>
          <w:rFonts w:hint="eastAsia" w:ascii="仿宋" w:hAnsi="仿宋" w:eastAsia="仿宋"/>
          <w:sz w:val="32"/>
          <w:szCs w:val="32"/>
        </w:rPr>
        <w:t>动植物防疫检疫规划并指导实施，负责动物卫生监管执法工作；负责动物诊疗机构的监管；负责官方兽医和执业兽医、乡村兽医的监管。</w:t>
      </w:r>
    </w:p>
    <w:p w14:paraId="34541733">
      <w:pPr>
        <w:spacing w:line="600" w:lineRule="exact"/>
        <w:ind w:firstLine="640" w:firstLineChars="200"/>
        <w:jc w:val="left"/>
        <w:rPr>
          <w:rFonts w:hint="eastAsia" w:ascii="仿宋" w:hAnsi="仿宋" w:eastAsia="仿宋"/>
          <w:sz w:val="32"/>
          <w:szCs w:val="32"/>
          <w:lang w:eastAsia="zh-CN"/>
        </w:rPr>
      </w:pPr>
      <w:r>
        <w:rPr>
          <w:rFonts w:hint="eastAsia" w:ascii="仿宋" w:hAnsi="仿宋" w:eastAsia="仿宋"/>
          <w:sz w:val="32"/>
          <w:szCs w:val="32"/>
        </w:rPr>
        <w:t>本级年末固定资产金额为</w:t>
      </w:r>
      <w:r>
        <w:rPr>
          <w:rFonts w:ascii="仿宋_GB2312" w:hAnsi="Times New Roman" w:eastAsia="仿宋_GB2312" w:cs="DengXian-Regular"/>
          <w:sz w:val="32"/>
          <w:szCs w:val="32"/>
        </w:rPr>
        <w:t>21</w:t>
      </w:r>
      <w:r>
        <w:rPr>
          <w:rFonts w:hint="eastAsia" w:ascii="仿宋_GB2312" w:hAnsi="Times New Roman" w:eastAsia="仿宋_GB2312" w:cs="DengXian-Regular"/>
          <w:sz w:val="32"/>
          <w:szCs w:val="32"/>
          <w:lang w:val="en-US" w:eastAsia="zh-CN"/>
        </w:rPr>
        <w:t>87.46</w:t>
      </w:r>
      <w:r>
        <w:rPr>
          <w:rFonts w:hint="eastAsia" w:ascii="仿宋" w:hAnsi="仿宋" w:eastAsia="仿宋"/>
          <w:sz w:val="32"/>
          <w:szCs w:val="32"/>
        </w:rPr>
        <w:t>万元</w:t>
      </w:r>
      <w:r>
        <w:rPr>
          <w:rFonts w:hint="eastAsia" w:ascii="仿宋" w:hAnsi="仿宋" w:eastAsia="仿宋"/>
          <w:sz w:val="32"/>
          <w:szCs w:val="32"/>
          <w:lang w:eastAsia="zh-CN"/>
        </w:rPr>
        <w:t>。</w:t>
      </w:r>
    </w:p>
    <w:p w14:paraId="4077B705">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00AA409">
      <w:pPr>
        <w:spacing w:line="600" w:lineRule="exact"/>
        <w:ind w:firstLine="640" w:firstLineChars="200"/>
        <w:jc w:val="left"/>
        <w:rPr>
          <w:rFonts w:hint="eastAsia" w:ascii="仿宋" w:hAnsi="仿宋" w:eastAsia="仿宋"/>
          <w:sz w:val="32"/>
          <w:szCs w:val="32"/>
        </w:rPr>
      </w:pPr>
      <w:r>
        <w:rPr>
          <w:rFonts w:hint="eastAsia" w:ascii="仿宋" w:hAnsi="仿宋" w:eastAsia="仿宋"/>
          <w:sz w:val="32"/>
          <w:szCs w:val="32"/>
          <w:lang w:eastAsia="zh-CN"/>
        </w:rPr>
        <w:t>本</w:t>
      </w:r>
      <w:r>
        <w:rPr>
          <w:rFonts w:hint="eastAsia" w:ascii="仿宋" w:hAnsi="仿宋" w:eastAsia="仿宋"/>
          <w:sz w:val="32"/>
          <w:szCs w:val="32"/>
          <w:lang w:val="en-US" w:eastAsia="zh-CN"/>
        </w:rPr>
        <w:t>部门</w:t>
      </w:r>
      <w:r>
        <w:rPr>
          <w:rFonts w:hint="eastAsia" w:ascii="仿宋" w:hAnsi="仿宋" w:eastAsia="仿宋"/>
          <w:sz w:val="32"/>
          <w:szCs w:val="32"/>
          <w:lang w:eastAsia="zh-CN"/>
        </w:rPr>
        <w:t>当年全部收入。202</w:t>
      </w:r>
      <w:r>
        <w:rPr>
          <w:rFonts w:hint="eastAsia" w:ascii="仿宋" w:hAnsi="仿宋" w:eastAsia="仿宋"/>
          <w:sz w:val="32"/>
          <w:szCs w:val="32"/>
          <w:lang w:val="en-US" w:eastAsia="zh-CN"/>
        </w:rPr>
        <w:t>6</w:t>
      </w:r>
      <w:r>
        <w:rPr>
          <w:rFonts w:hint="eastAsia" w:ascii="仿宋" w:hAnsi="仿宋" w:eastAsia="仿宋"/>
          <w:sz w:val="32"/>
          <w:szCs w:val="32"/>
          <w:lang w:eastAsia="zh-CN"/>
        </w:rPr>
        <w:t>年预算收入</w:t>
      </w:r>
      <w:r>
        <w:rPr>
          <w:rFonts w:hint="eastAsia" w:ascii="仿宋" w:hAnsi="仿宋" w:eastAsia="仿宋"/>
          <w:sz w:val="32"/>
          <w:szCs w:val="32"/>
          <w:lang w:val="en-US" w:eastAsia="zh-CN"/>
        </w:rPr>
        <w:t>28914.2</w:t>
      </w:r>
      <w:r>
        <w:rPr>
          <w:rFonts w:hint="eastAsia" w:ascii="仿宋" w:hAnsi="仿宋" w:eastAsia="仿宋"/>
          <w:sz w:val="32"/>
          <w:szCs w:val="32"/>
          <w:lang w:eastAsia="zh-CN"/>
        </w:rPr>
        <w:t>万元，其中：一般公共预算收入</w:t>
      </w:r>
      <w:r>
        <w:rPr>
          <w:rFonts w:hint="eastAsia" w:ascii="仿宋" w:hAnsi="仿宋" w:eastAsia="仿宋"/>
          <w:sz w:val="32"/>
          <w:szCs w:val="32"/>
          <w:lang w:val="en-US" w:eastAsia="zh-CN"/>
        </w:rPr>
        <w:t>20388.07</w:t>
      </w:r>
      <w:r>
        <w:rPr>
          <w:rFonts w:hint="eastAsia" w:ascii="仿宋" w:hAnsi="仿宋" w:eastAsia="仿宋"/>
          <w:sz w:val="32"/>
          <w:szCs w:val="32"/>
          <w:lang w:eastAsia="zh-CN"/>
        </w:rPr>
        <w:t>万元，基金预算收入</w:t>
      </w:r>
      <w:r>
        <w:rPr>
          <w:rFonts w:hint="eastAsia" w:ascii="仿宋" w:hAnsi="仿宋" w:eastAsia="仿宋"/>
          <w:sz w:val="32"/>
          <w:szCs w:val="32"/>
          <w:lang w:val="en-US" w:eastAsia="zh-CN"/>
        </w:rPr>
        <w:t>8526.13</w:t>
      </w:r>
      <w:r>
        <w:rPr>
          <w:rFonts w:hint="eastAsia" w:ascii="仿宋" w:hAnsi="仿宋" w:eastAsia="仿宋"/>
          <w:sz w:val="32"/>
          <w:szCs w:val="32"/>
          <w:lang w:eastAsia="zh-CN"/>
        </w:rPr>
        <w:t>万元，</w:t>
      </w:r>
      <w:r>
        <w:rPr>
          <w:rFonts w:hint="eastAsia" w:ascii="仿宋" w:hAnsi="仿宋" w:eastAsia="仿宋"/>
          <w:sz w:val="32"/>
          <w:szCs w:val="32"/>
          <w:lang w:val="en-US" w:eastAsia="zh-CN"/>
        </w:rPr>
        <w:t>国有资本经营预算收入0.00万元，</w:t>
      </w:r>
      <w:r>
        <w:rPr>
          <w:rFonts w:hint="eastAsia" w:ascii="仿宋" w:hAnsi="仿宋" w:eastAsia="仿宋"/>
          <w:sz w:val="32"/>
          <w:szCs w:val="32"/>
          <w:lang w:eastAsia="zh-CN"/>
        </w:rPr>
        <w:t xml:space="preserve"> 财政专户核拨收入 0</w:t>
      </w:r>
      <w:r>
        <w:rPr>
          <w:rFonts w:hint="eastAsia" w:ascii="仿宋" w:hAnsi="仿宋" w:eastAsia="仿宋"/>
          <w:sz w:val="32"/>
          <w:szCs w:val="32"/>
          <w:lang w:val="en-US" w:eastAsia="zh-CN"/>
        </w:rPr>
        <w:t>.00</w:t>
      </w:r>
      <w:r>
        <w:rPr>
          <w:rFonts w:hint="eastAsia" w:ascii="仿宋" w:hAnsi="仿宋" w:eastAsia="仿宋"/>
          <w:sz w:val="32"/>
          <w:szCs w:val="32"/>
          <w:lang w:eastAsia="zh-CN"/>
        </w:rPr>
        <w:t xml:space="preserve"> 万元，其他来源收入 0 万元。</w:t>
      </w:r>
    </w:p>
    <w:p w14:paraId="4F283CC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9E96D37">
      <w:pPr>
        <w:adjustRightInd w:val="0"/>
        <w:snapToGrid w:val="0"/>
        <w:spacing w:line="560" w:lineRule="exact"/>
        <w:ind w:firstLine="640" w:firstLineChars="200"/>
        <w:rPr>
          <w:rFonts w:hint="eastAsia" w:ascii="Times-Roman" w:hAnsi="Times-Roman" w:eastAsia="仿宋_GB2312" w:cs="Times-Roman"/>
          <w:color w:val="000000"/>
          <w:kern w:val="2"/>
          <w:sz w:val="32"/>
          <w:szCs w:val="32"/>
          <w:lang w:val="en-US" w:eastAsia="zh-CN" w:bidi="ar-SA"/>
        </w:rPr>
      </w:pPr>
      <w:r>
        <w:rPr>
          <w:rFonts w:hint="eastAsia" w:ascii="楷体_GB2312" w:hAnsi="楷体_GB2312" w:eastAsia="楷体_GB2312" w:cs="楷体_GB2312"/>
          <w:color w:val="000000"/>
          <w:kern w:val="2"/>
          <w:sz w:val="32"/>
          <w:szCs w:val="32"/>
          <w:lang w:val="en-US" w:eastAsia="zh-CN" w:bidi="ar-SA"/>
        </w:rPr>
        <w:t>指标完成情况。</w:t>
      </w:r>
      <w:r>
        <w:rPr>
          <w:rFonts w:hint="eastAsia" w:ascii="Times-Roman" w:hAnsi="Times-Roman" w:eastAsia="仿宋_GB2312" w:cs="Times-Roman"/>
          <w:b/>
          <w:bCs/>
          <w:color w:val="000000"/>
          <w:kern w:val="2"/>
          <w:sz w:val="32"/>
          <w:szCs w:val="32"/>
          <w:lang w:val="en-US" w:eastAsia="zh-CN" w:bidi="ar-SA"/>
        </w:rPr>
        <w:t>一是</w:t>
      </w:r>
      <w:r>
        <w:rPr>
          <w:rFonts w:hint="eastAsia" w:ascii="Times-Roman" w:hAnsi="Times-Roman" w:eastAsia="仿宋_GB2312" w:cs="Times-Roman"/>
          <w:color w:val="000000"/>
          <w:kern w:val="2"/>
          <w:sz w:val="32"/>
          <w:szCs w:val="32"/>
          <w:lang w:val="en-US" w:eastAsia="zh-CN" w:bidi="ar-SA"/>
        </w:rPr>
        <w:t>农村居民人均可支配收入。2025年目标25608元，年度增速6%。</w:t>
      </w:r>
      <w:r>
        <w:rPr>
          <w:rFonts w:hint="eastAsia" w:ascii="楷体_GB2312" w:hAnsi="楷体_GB2312" w:eastAsia="楷体_GB2312" w:cs="楷体_GB2312"/>
          <w:color w:val="000000"/>
          <w:kern w:val="2"/>
          <w:sz w:val="32"/>
          <w:szCs w:val="32"/>
          <w:lang w:val="en-US" w:eastAsia="zh-CN" w:bidi="ar-SA"/>
        </w:rPr>
        <w:t>农业生产能力持续增强。二</w:t>
      </w:r>
      <w:r>
        <w:rPr>
          <w:rFonts w:hint="eastAsia" w:ascii="仿宋_GB2312" w:hAnsi="仿宋_GB2312" w:eastAsia="仿宋_GB2312" w:cs="仿宋_GB2312"/>
          <w:b/>
          <w:bCs/>
          <w:color w:val="000000"/>
          <w:kern w:val="2"/>
          <w:sz w:val="32"/>
          <w:szCs w:val="32"/>
          <w:lang w:val="en-US" w:eastAsia="zh-CN" w:bidi="ar-SA"/>
        </w:rPr>
        <w:t>是</w:t>
      </w:r>
      <w:r>
        <w:rPr>
          <w:rFonts w:hint="eastAsia" w:ascii="仿宋_GB2312" w:hAnsi="仿宋_GB2312" w:eastAsia="仿宋_GB2312" w:cs="仿宋_GB2312"/>
          <w:b w:val="0"/>
          <w:bCs w:val="0"/>
          <w:color w:val="000000"/>
          <w:kern w:val="2"/>
          <w:sz w:val="32"/>
          <w:szCs w:val="32"/>
          <w:lang w:val="en-US" w:eastAsia="zh-CN" w:bidi="ar-SA"/>
        </w:rPr>
        <w:t>稳定粮食产量和面积。</w:t>
      </w:r>
      <w:r>
        <w:rPr>
          <w:rFonts w:hint="eastAsia" w:ascii="Times New Roman" w:hAnsi="Times New Roman" w:eastAsia="仿宋_GB2312" w:cs="Times New Roman"/>
          <w:color w:val="000000"/>
          <w:sz w:val="32"/>
          <w:szCs w:val="32"/>
          <w:lang w:val="en-US" w:eastAsia="zh-CN"/>
        </w:rPr>
        <w:t>2025</w:t>
      </w:r>
      <w:r>
        <w:rPr>
          <w:rFonts w:hint="eastAsia" w:ascii="仿宋_GB2312" w:hAnsi="仿宋_GB2312" w:eastAsia="仿宋_GB2312" w:cs="仿宋_GB2312"/>
          <w:b w:val="0"/>
          <w:bCs w:val="0"/>
          <w:color w:val="000000"/>
          <w:kern w:val="2"/>
          <w:sz w:val="32"/>
          <w:szCs w:val="32"/>
          <w:lang w:val="en-US" w:eastAsia="zh-CN" w:bidi="ar-SA"/>
        </w:rPr>
        <w:t>年我县</w:t>
      </w:r>
      <w:r>
        <w:rPr>
          <w:rFonts w:hint="default" w:ascii="Times New Roman" w:hAnsi="Times New Roman" w:eastAsia="仿宋_GB2312" w:cs="Times New Roman"/>
          <w:color w:val="000000"/>
          <w:sz w:val="32"/>
          <w:szCs w:val="32"/>
          <w:lang w:eastAsia="zh-CN"/>
        </w:rPr>
        <w:t>夏粮播种面积56.78万亩，总产量29.</w:t>
      </w:r>
      <w:r>
        <w:rPr>
          <w:rFonts w:hint="eastAsia" w:ascii="Times New Roman" w:hAnsi="Times New Roman" w:eastAsia="仿宋_GB2312" w:cs="Times New Roman"/>
          <w:color w:val="000000"/>
          <w:sz w:val="32"/>
          <w:szCs w:val="32"/>
          <w:lang w:val="en-US" w:eastAsia="zh-CN"/>
        </w:rPr>
        <w:t>08</w:t>
      </w:r>
      <w:r>
        <w:rPr>
          <w:rFonts w:hint="default" w:ascii="Times New Roman" w:hAnsi="Times New Roman" w:eastAsia="仿宋_GB2312" w:cs="Times New Roman"/>
          <w:color w:val="000000"/>
          <w:sz w:val="32"/>
          <w:szCs w:val="32"/>
          <w:lang w:eastAsia="zh-CN"/>
        </w:rPr>
        <w:t>万吨。</w:t>
      </w:r>
      <w:r>
        <w:rPr>
          <w:rFonts w:hint="eastAsia" w:ascii="仿宋_GB2312" w:hAnsi="仿宋_GB2312" w:eastAsia="仿宋_GB2312" w:cs="仿宋_GB2312"/>
          <w:b/>
          <w:bCs/>
          <w:color w:val="000000"/>
          <w:kern w:val="2"/>
          <w:sz w:val="32"/>
          <w:szCs w:val="32"/>
          <w:lang w:val="en-US" w:eastAsia="zh-CN" w:bidi="ar-SA"/>
        </w:rPr>
        <w:t>三是</w:t>
      </w:r>
      <w:r>
        <w:rPr>
          <w:rFonts w:hint="eastAsia" w:ascii="楷体_GB2312" w:hAnsi="楷体_GB2312" w:eastAsia="楷体_GB2312" w:cs="楷体_GB2312"/>
          <w:color w:val="000000"/>
          <w:kern w:val="2"/>
          <w:sz w:val="32"/>
          <w:szCs w:val="32"/>
          <w:lang w:val="en-US" w:eastAsia="zh-CN" w:bidi="ar-SA"/>
        </w:rPr>
        <w:t>农业生产能力持续增强，</w:t>
      </w:r>
      <w:r>
        <w:rPr>
          <w:rFonts w:hint="eastAsia" w:ascii="仿宋_GB2312" w:hAnsi="仿宋_GB2312" w:eastAsia="仿宋_GB2312" w:cs="仿宋_GB2312"/>
          <w:b w:val="0"/>
          <w:bCs w:val="0"/>
          <w:color w:val="000000"/>
          <w:kern w:val="2"/>
          <w:sz w:val="32"/>
          <w:szCs w:val="32"/>
          <w:lang w:val="en-US" w:eastAsia="zh-CN" w:bidi="ar-SA"/>
        </w:rPr>
        <w:t>提高农业配套生产能力。</w:t>
      </w:r>
      <w:r>
        <w:rPr>
          <w:rFonts w:hint="eastAsia" w:ascii="Times-Roman" w:hAnsi="Times-Roman" w:eastAsia="仿宋_GB2312" w:cs="Times-Roman"/>
          <w:color w:val="000000"/>
          <w:kern w:val="2"/>
          <w:sz w:val="32"/>
          <w:szCs w:val="32"/>
          <w:lang w:val="en-US" w:eastAsia="zh-CN" w:bidi="ar-SA"/>
        </w:rPr>
        <w:t>落实农机购置与应用补贴政策资金。截至目前，落实补贴资金共计1174.593万元，补贴各类农业机械874台。四是</w:t>
      </w:r>
      <w:r>
        <w:rPr>
          <w:rFonts w:hint="eastAsia" w:ascii="楷体_GB2312" w:hAnsi="楷体_GB2312" w:eastAsia="楷体_GB2312" w:cs="楷体_GB2312"/>
          <w:color w:val="000000"/>
          <w:kern w:val="2"/>
          <w:sz w:val="32"/>
          <w:szCs w:val="32"/>
          <w:lang w:val="en-US" w:eastAsia="zh-CN" w:bidi="ar-SA"/>
        </w:rPr>
        <w:t>梨果产业振兴加快推进。</w:t>
      </w:r>
      <w:r>
        <w:rPr>
          <w:rFonts w:hint="eastAsia" w:ascii="仿宋_GB2312" w:hAnsi="仿宋_GB2312" w:eastAsia="仿宋_GB2312"/>
          <w:b w:val="0"/>
          <w:bCs w:val="0"/>
          <w:color w:val="000000"/>
          <w:kern w:val="2"/>
          <w:sz w:val="32"/>
          <w:szCs w:val="32"/>
          <w:lang w:val="en-US" w:eastAsia="zh-CN" w:bidi="ar-SA"/>
        </w:rPr>
        <w:t>推动梨果提质增效。积极采取</w:t>
      </w:r>
      <w:r>
        <w:rPr>
          <w:rFonts w:hint="eastAsia" w:ascii="Times-Roman" w:hAnsi="Times-Roman" w:eastAsia="仿宋_GB2312"/>
          <w:color w:val="000000"/>
          <w:kern w:val="2"/>
          <w:sz w:val="32"/>
          <w:szCs w:val="32"/>
          <w:lang w:val="en-US" w:eastAsia="zh-CN" w:bidi="ar-SA"/>
        </w:rPr>
        <w:t>重施有机肥、蜜蜂授粉、控水、控药、控化肥、禁止雪花梨早采等措施。通过标准化推广，全县雪花梨果含糖量提升到13%，最高可达15%，梨果品质显著提升。</w:t>
      </w:r>
    </w:p>
    <w:p w14:paraId="6BE2DF3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170DF1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8ED04AB">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 xml:space="preserve"> 按照赵县财政局《关于开展2025年绩效自评工作的通知》要求，我单位成立了绩效评价领导小组。通过收集整理、核查核实项目的申请立项、资金落实、过程监督等资料，对其合法性、合理性和合规性进行了客观公正的评价。同时，以调查问卷的方式开展了社会满意度调查。</w:t>
      </w:r>
    </w:p>
    <w:p w14:paraId="327DA46B">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7445E7E">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按照项目自评要求，首先明确评估的目标，可以更加有针对性</w:t>
      </w:r>
      <w:r>
        <w:rPr>
          <w:rFonts w:hint="eastAsia" w:ascii="仿宋" w:hAnsi="仿宋" w:eastAsia="仿宋"/>
          <w:sz w:val="32"/>
          <w:szCs w:val="32"/>
          <w:lang w:eastAsia="zh-CN"/>
        </w:rPr>
        <w:t>地</w:t>
      </w:r>
      <w:r>
        <w:rPr>
          <w:rFonts w:hint="eastAsia" w:ascii="仿宋" w:hAnsi="仿宋" w:eastAsia="仿宋"/>
          <w:sz w:val="32"/>
          <w:szCs w:val="32"/>
        </w:rPr>
        <w:t>评估。其次收集项目信息，通过收集信息让我们反思经验，在不同环境下取得的成果。再次分析和反思，可以将自己的能力和目标收集到的信息进行对比，找出差距和不足。最后</w:t>
      </w:r>
      <w:r>
        <w:rPr>
          <w:rFonts w:hint="eastAsia" w:ascii="仿宋" w:hAnsi="仿宋" w:eastAsia="仿宋"/>
          <w:sz w:val="32"/>
          <w:szCs w:val="32"/>
          <w:lang w:eastAsia="zh-CN"/>
        </w:rPr>
        <w:t>制定</w:t>
      </w:r>
      <w:r>
        <w:rPr>
          <w:rFonts w:hint="eastAsia" w:ascii="仿宋" w:hAnsi="仿宋" w:eastAsia="仿宋"/>
          <w:sz w:val="32"/>
          <w:szCs w:val="32"/>
        </w:rPr>
        <w:t>行动和计划，成立项目自评小组，对实施的农业项目认真填报项目绩效自评表，并编写项目绩效自评报告。</w:t>
      </w:r>
    </w:p>
    <w:p w14:paraId="6B6A6A19">
      <w:pPr>
        <w:numPr>
          <w:ilvl w:val="0"/>
          <w:numId w:val="0"/>
        </w:numPr>
        <w:spacing w:line="560" w:lineRule="exact"/>
        <w:ind w:left="642" w:leftChars="0"/>
        <w:rPr>
          <w:rFonts w:ascii="楷体" w:hAnsi="楷体" w:eastAsia="楷体" w:cs="楷体_GB2312"/>
          <w:bCs/>
          <w:sz w:val="32"/>
          <w:szCs w:val="32"/>
        </w:rPr>
      </w:pPr>
    </w:p>
    <w:p w14:paraId="501A6E37">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A01C922">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000ECDB">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在开展预算自评工作时，针对具体绩效评价对象的特点，设计能够体现项目特点绩效评价指标体系。根据项目当前执行情况和项目绩效情况，经过自评，目前该项目综合评价得分为9</w:t>
      </w:r>
      <w:r>
        <w:rPr>
          <w:rFonts w:hint="eastAsia" w:ascii="仿宋" w:hAnsi="仿宋" w:eastAsia="仿宋"/>
          <w:sz w:val="32"/>
          <w:szCs w:val="32"/>
          <w:lang w:val="en-US" w:eastAsia="zh-CN"/>
        </w:rPr>
        <w:t>8</w:t>
      </w:r>
      <w:r>
        <w:rPr>
          <w:rFonts w:hint="eastAsia" w:ascii="仿宋" w:hAnsi="仿宋" w:eastAsia="仿宋"/>
          <w:sz w:val="32"/>
          <w:szCs w:val="32"/>
        </w:rPr>
        <w:t>分，项目综合绩效评价等级为优秀。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二、三级指标所占权重应当根据指标重要程度、项目实施阶段等因素综合确定，准确反映预算项目的产出和效果。</w:t>
      </w:r>
    </w:p>
    <w:p w14:paraId="1E07F02F">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6F9AF70">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1、预算执行情况</w:t>
      </w:r>
    </w:p>
    <w:p w14:paraId="1CA67F76">
      <w:pPr>
        <w:adjustRightInd w:val="0"/>
        <w:snapToGrid w:val="0"/>
        <w:spacing w:line="600"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6</w:t>
      </w:r>
      <w:r>
        <w:rPr>
          <w:rFonts w:hint="eastAsia" w:ascii="仿宋" w:hAnsi="仿宋" w:eastAsia="仿宋"/>
          <w:sz w:val="32"/>
          <w:szCs w:val="32"/>
          <w:highlight w:val="none"/>
        </w:rPr>
        <w:t>年预算安排</w:t>
      </w:r>
      <w:r>
        <w:rPr>
          <w:rFonts w:hint="eastAsia" w:ascii="仿宋" w:hAnsi="仿宋" w:eastAsia="仿宋"/>
          <w:sz w:val="32"/>
          <w:szCs w:val="32"/>
          <w:highlight w:val="none"/>
          <w:lang w:val="en-US" w:eastAsia="zh-CN"/>
        </w:rPr>
        <w:t>4146.88</w:t>
      </w:r>
      <w:r>
        <w:rPr>
          <w:rFonts w:hint="eastAsia" w:ascii="仿宋" w:hAnsi="仿宋" w:eastAsia="仿宋"/>
          <w:sz w:val="32"/>
          <w:szCs w:val="32"/>
          <w:highlight w:val="none"/>
        </w:rPr>
        <w:t>万元，支出</w:t>
      </w:r>
      <w:r>
        <w:rPr>
          <w:rFonts w:hint="eastAsia" w:ascii="仿宋" w:hAnsi="仿宋" w:eastAsia="仿宋"/>
          <w:sz w:val="32"/>
          <w:szCs w:val="32"/>
          <w:highlight w:val="none"/>
          <w:lang w:val="en-US" w:eastAsia="zh-CN"/>
        </w:rPr>
        <w:t>29316.51</w:t>
      </w:r>
      <w:r>
        <w:rPr>
          <w:rFonts w:hint="eastAsia" w:ascii="仿宋" w:hAnsi="仿宋" w:eastAsia="仿宋"/>
          <w:sz w:val="32"/>
          <w:szCs w:val="32"/>
          <w:highlight w:val="none"/>
        </w:rPr>
        <w:t>万元，预算执行率</w:t>
      </w:r>
      <w:r>
        <w:rPr>
          <w:rFonts w:hint="eastAsia" w:ascii="仿宋" w:hAnsi="仿宋" w:eastAsia="仿宋"/>
          <w:sz w:val="32"/>
          <w:szCs w:val="32"/>
          <w:highlight w:val="none"/>
          <w:lang w:val="en-US" w:eastAsia="zh-CN"/>
        </w:rPr>
        <w:t>70</w:t>
      </w:r>
      <w:r>
        <w:rPr>
          <w:rFonts w:hint="eastAsia" w:ascii="仿宋" w:hAnsi="仿宋" w:eastAsia="仿宋"/>
          <w:sz w:val="32"/>
          <w:szCs w:val="32"/>
          <w:highlight w:val="none"/>
        </w:rPr>
        <w:t>%，自评得分</w:t>
      </w:r>
      <w:r>
        <w:rPr>
          <w:rFonts w:ascii="仿宋" w:hAnsi="仿宋" w:eastAsia="仿宋"/>
          <w:sz w:val="32"/>
          <w:szCs w:val="32"/>
          <w:highlight w:val="none"/>
        </w:rPr>
        <w:t>9</w:t>
      </w:r>
      <w:r>
        <w:rPr>
          <w:rFonts w:hint="eastAsia" w:ascii="仿宋" w:hAnsi="仿宋" w:eastAsia="仿宋"/>
          <w:sz w:val="32"/>
          <w:szCs w:val="32"/>
          <w:highlight w:val="none"/>
        </w:rPr>
        <w:t>.8分。执行率</w:t>
      </w:r>
      <w:r>
        <w:rPr>
          <w:rFonts w:hint="eastAsia" w:ascii="仿宋" w:hAnsi="仿宋" w:eastAsia="仿宋"/>
          <w:sz w:val="32"/>
          <w:szCs w:val="32"/>
          <w:highlight w:val="none"/>
          <w:lang w:val="en-US" w:eastAsia="zh-CN"/>
        </w:rPr>
        <w:t>较低</w:t>
      </w:r>
      <w:r>
        <w:rPr>
          <w:rFonts w:hint="eastAsia" w:ascii="仿宋" w:hAnsi="仿宋" w:eastAsia="仿宋"/>
          <w:sz w:val="32"/>
          <w:szCs w:val="32"/>
          <w:highlight w:val="none"/>
        </w:rPr>
        <w:t>的主要原因是有</w:t>
      </w:r>
      <w:r>
        <w:rPr>
          <w:rFonts w:hint="eastAsia" w:ascii="仿宋" w:hAnsi="仿宋" w:eastAsia="仿宋"/>
          <w:sz w:val="32"/>
          <w:szCs w:val="32"/>
          <w:highlight w:val="none"/>
          <w:lang w:val="en-US" w:eastAsia="zh-CN"/>
        </w:rPr>
        <w:t>29</w:t>
      </w:r>
      <w:r>
        <w:rPr>
          <w:rFonts w:hint="eastAsia" w:ascii="仿宋" w:hAnsi="仿宋" w:eastAsia="仿宋"/>
          <w:sz w:val="32"/>
          <w:szCs w:val="32"/>
          <w:highlight w:val="none"/>
        </w:rPr>
        <w:t>个项目0支出，涉及项目是2025年中央农业经营主体能力提升（高素质农民培训）、2025年中央农业经营主体能力提升（农业社会化服务）、2025年中央农业经营主体能力提升（其他新型经营主体培育)、2025年中央农业经营主体能力提升（粮油单产提升)、2025年省级粮油生产保障资金（大豆玉米复合种植)、2025年省级粮油生产保障资金（小麦一喷三防）</w:t>
      </w:r>
      <w:r>
        <w:rPr>
          <w:rFonts w:hint="eastAsia" w:ascii="仿宋" w:hAnsi="仿宋" w:eastAsia="仿宋"/>
          <w:sz w:val="32"/>
          <w:szCs w:val="32"/>
          <w:highlight w:val="none"/>
          <w:lang w:eastAsia="zh-CN"/>
        </w:rPr>
        <w:t>、</w:t>
      </w:r>
      <w:r>
        <w:rPr>
          <w:rFonts w:hint="eastAsia" w:ascii="仿宋" w:hAnsi="仿宋" w:eastAsia="仿宋"/>
          <w:sz w:val="32"/>
          <w:szCs w:val="32"/>
          <w:highlight w:val="none"/>
        </w:rPr>
        <w:t>2025年省级农业生态资源保护资金（农药减量）</w:t>
      </w:r>
      <w:r>
        <w:rPr>
          <w:rFonts w:hint="eastAsia" w:ascii="仿宋" w:hAnsi="仿宋" w:eastAsia="仿宋"/>
          <w:sz w:val="32"/>
          <w:szCs w:val="32"/>
          <w:highlight w:val="none"/>
          <w:lang w:eastAsia="zh-CN"/>
        </w:rPr>
        <w:t>、2025年省级农业经营主体能力提升资金（新型农业经营主体示范带动项目）、2025年省级农业防灾减灾和水利救灾资金（强制免疫）、2025年省级农业防灾减灾和水利救灾资金（非洲猪瘟防控）、2025年省级耕地建设与利用（质量监测与保护提升）、2025年省级乡村振兴专项资金（和美乡村）、2025年市级转移支付资金（人居环境）、2024年棉花大县奖励资金、</w:t>
      </w:r>
      <w:r>
        <w:rPr>
          <w:rFonts w:hint="eastAsia" w:ascii="仿宋" w:hAnsi="仿宋" w:eastAsia="仿宋"/>
          <w:sz w:val="32"/>
          <w:szCs w:val="32"/>
          <w:highlight w:val="none"/>
        </w:rPr>
        <w:t>等。</w:t>
      </w:r>
    </w:p>
    <w:p w14:paraId="4238E1F5">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2、项目产出</w:t>
      </w:r>
    </w:p>
    <w:p w14:paraId="2C23A9B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数量指标、质量指标、时效指标和成本指标每项指标设定分值10分，项目产出指标共40分。</w:t>
      </w:r>
    </w:p>
    <w:p w14:paraId="15ABD81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数量指标方面：</w:t>
      </w:r>
      <w:r>
        <w:rPr>
          <w:rFonts w:ascii="仿宋" w:hAnsi="仿宋" w:eastAsia="仿宋"/>
          <w:sz w:val="32"/>
          <w:szCs w:val="32"/>
        </w:rPr>
        <w:t>保障</w:t>
      </w:r>
      <w:r>
        <w:rPr>
          <w:rFonts w:hint="eastAsia" w:ascii="仿宋" w:hAnsi="仿宋" w:eastAsia="仿宋"/>
          <w:sz w:val="32"/>
          <w:szCs w:val="32"/>
        </w:rPr>
        <w:t>农业生产能力持续增强，建设智慧农机数字化云平台，大幅提升农机作业的智能化水平,稳步推进</w:t>
      </w:r>
      <w:r>
        <w:rPr>
          <w:rFonts w:ascii="仿宋" w:hAnsi="仿宋" w:eastAsia="仿宋"/>
          <w:sz w:val="32"/>
          <w:szCs w:val="32"/>
        </w:rPr>
        <w:t>冀粮集团规模化经营流转</w:t>
      </w:r>
      <w:r>
        <w:rPr>
          <w:rFonts w:hint="eastAsia" w:ascii="仿宋" w:hAnsi="仿宋" w:eastAsia="仿宋"/>
          <w:sz w:val="32"/>
          <w:szCs w:val="32"/>
        </w:rPr>
        <w:t>;梨果产业振兴加快推进，推动全县梨产业形成结构合理、链条完整的优势特色赵州梨产业链；畜牧产业稳步增长、乡村建设行动效果明显</w:t>
      </w:r>
      <w:r>
        <w:rPr>
          <w:rFonts w:ascii="仿宋" w:hAnsi="仿宋" w:eastAsia="仿宋"/>
          <w:sz w:val="32"/>
          <w:szCs w:val="32"/>
        </w:rPr>
        <w:t>实现</w:t>
      </w:r>
      <w:r>
        <w:rPr>
          <w:rFonts w:hint="eastAsia" w:ascii="仿宋" w:hAnsi="仿宋" w:eastAsia="仿宋"/>
          <w:sz w:val="32"/>
          <w:szCs w:val="32"/>
        </w:rPr>
        <w:t>宜居宜业和美乡村示范区，自评得分10分。</w:t>
      </w:r>
    </w:p>
    <w:p w14:paraId="7491F50F">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质量指标方面建设项目工程质量合格率达到100%，自评得分10分。</w:t>
      </w:r>
    </w:p>
    <w:p w14:paraId="4A8EE52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时效指标方面所有项目完工及时率达到90%，自评得分9分。</w:t>
      </w:r>
    </w:p>
    <w:p w14:paraId="69D2D83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成本指标方面没有超概算的项目，自评得分10分。</w:t>
      </w:r>
    </w:p>
    <w:p w14:paraId="67D5A23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3.项目效果</w:t>
      </w:r>
    </w:p>
    <w:p w14:paraId="01E79D9B">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经济效益指标、社会效益指标、生态效益指标、可持续影响指标每项指标设定分值10分，项目效果指标共40分。</w:t>
      </w:r>
    </w:p>
    <w:p w14:paraId="5ED5E617">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经济效益方面做好县委安排的项目建设，提升城市形象和</w:t>
      </w:r>
      <w:r>
        <w:rPr>
          <w:rFonts w:hint="eastAsia" w:ascii="仿宋" w:hAnsi="仿宋" w:eastAsia="仿宋"/>
          <w:sz w:val="32"/>
          <w:szCs w:val="32"/>
          <w:lang w:eastAsia="zh-CN"/>
        </w:rPr>
        <w:t>品位</w:t>
      </w:r>
      <w:r>
        <w:rPr>
          <w:rFonts w:hint="eastAsia" w:ascii="仿宋" w:hAnsi="仿宋" w:eastAsia="仿宋"/>
          <w:sz w:val="32"/>
          <w:szCs w:val="32"/>
        </w:rPr>
        <w:t>，带动我县经济发展，自评得分9分。</w:t>
      </w:r>
    </w:p>
    <w:p w14:paraId="632CE1B2">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社会效益方面促进农村经济发展，农业发展同时也对农村经济的发展产生重要影响。农村经济的发展离不开农业的推动，农村经济的发展水平直接关系到农民的生活质量。农业发展能够提高农民的收入水平，带动乡村经济的发展，促进农村产业结构的调整和优化，进而改善农民的生活水平。自评得分9分。</w:t>
      </w:r>
    </w:p>
    <w:p w14:paraId="68454337">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生态效益方面</w:t>
      </w:r>
      <w:r>
        <w:rPr>
          <w:rFonts w:ascii="仿宋" w:hAnsi="仿宋" w:eastAsia="仿宋"/>
          <w:sz w:val="32"/>
          <w:szCs w:val="32"/>
        </w:rPr>
        <w:t>提高县城环卫质量</w:t>
      </w:r>
      <w:r>
        <w:rPr>
          <w:rFonts w:hint="eastAsia" w:ascii="仿宋" w:hAnsi="仿宋" w:eastAsia="仿宋"/>
          <w:sz w:val="32"/>
          <w:szCs w:val="32"/>
        </w:rPr>
        <w:t>，保障农产品供给的同时，必须注重生态环境的保护和改善。这包括维护生物多样性、调节气候、涵养水源和保持土壤等方面</w:t>
      </w:r>
      <w:r>
        <w:rPr>
          <w:rFonts w:hint="eastAsia" w:ascii="MS Gothic" w:hAnsi="MS Gothic" w:eastAsia="MS Gothic" w:cs="MS Gothic"/>
          <w:sz w:val="32"/>
          <w:szCs w:val="32"/>
        </w:rPr>
        <w:t>‌</w:t>
      </w:r>
      <w:r>
        <w:rPr>
          <w:rFonts w:hint="eastAsia" w:ascii="仿宋" w:hAnsi="仿宋" w:eastAsia="仿宋"/>
          <w:sz w:val="32"/>
          <w:szCs w:val="32"/>
        </w:rPr>
        <w:t>自评得分</w:t>
      </w:r>
      <w:r>
        <w:rPr>
          <w:rFonts w:ascii="仿宋" w:hAnsi="仿宋" w:eastAsia="仿宋"/>
          <w:sz w:val="32"/>
          <w:szCs w:val="32"/>
        </w:rPr>
        <w:t>9</w:t>
      </w:r>
      <w:r>
        <w:rPr>
          <w:rFonts w:hint="eastAsia" w:ascii="仿宋" w:hAnsi="仿宋" w:eastAsia="仿宋"/>
          <w:sz w:val="32"/>
          <w:szCs w:val="32"/>
        </w:rPr>
        <w:t>分。</w:t>
      </w:r>
    </w:p>
    <w:p w14:paraId="47458085">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可持续影响指标改善城市环境，优化城市道路，提升城市整体形象和</w:t>
      </w:r>
      <w:r>
        <w:rPr>
          <w:rFonts w:hint="eastAsia" w:ascii="仿宋" w:hAnsi="仿宋" w:eastAsia="仿宋"/>
          <w:sz w:val="32"/>
          <w:szCs w:val="32"/>
          <w:lang w:eastAsia="zh-CN"/>
        </w:rPr>
        <w:t>品位</w:t>
      </w:r>
      <w:r>
        <w:rPr>
          <w:rFonts w:hint="eastAsia" w:ascii="仿宋" w:hAnsi="仿宋" w:eastAsia="仿宋"/>
          <w:sz w:val="32"/>
          <w:szCs w:val="32"/>
        </w:rPr>
        <w:t>，使县城稳步发展，自评得分</w:t>
      </w:r>
      <w:r>
        <w:rPr>
          <w:rFonts w:ascii="仿宋" w:hAnsi="仿宋" w:eastAsia="仿宋"/>
          <w:sz w:val="32"/>
          <w:szCs w:val="32"/>
        </w:rPr>
        <w:t>9</w:t>
      </w:r>
      <w:r>
        <w:rPr>
          <w:rFonts w:hint="eastAsia" w:ascii="仿宋" w:hAnsi="仿宋" w:eastAsia="仿宋"/>
          <w:sz w:val="32"/>
          <w:szCs w:val="32"/>
        </w:rPr>
        <w:t>分。</w:t>
      </w:r>
    </w:p>
    <w:p w14:paraId="6F7146B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5DC20A5">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根据</w:t>
      </w:r>
      <w:r>
        <w:rPr>
          <w:rFonts w:ascii="仿宋" w:hAnsi="仿宋" w:eastAsia="仿宋"/>
          <w:sz w:val="32"/>
          <w:szCs w:val="32"/>
        </w:rPr>
        <w:t>项目执行情况和项目绩效情况综合得分</w:t>
      </w:r>
      <w:r>
        <w:rPr>
          <w:rFonts w:ascii="仿宋" w:hAnsi="仿宋" w:eastAsia="仿宋"/>
          <w:sz w:val="32"/>
          <w:szCs w:val="32"/>
          <w:highlight w:val="none"/>
        </w:rPr>
        <w:t>9</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分</w:t>
      </w:r>
      <w:r>
        <w:rPr>
          <w:rFonts w:hint="eastAsia" w:ascii="仿宋" w:hAnsi="仿宋" w:eastAsia="仿宋"/>
          <w:sz w:val="32"/>
          <w:szCs w:val="32"/>
        </w:rPr>
        <w:t>，项目综合绩效评价为优秀。</w:t>
      </w:r>
    </w:p>
    <w:p w14:paraId="0389161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8BB280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4B595C4F">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绩效目标编制有待进一步完善。在编制绩效目标时应对绩效进行量化，设立清晰、具体可以衡量的绩效指标，以便进行绩效考核</w:t>
      </w:r>
    </w:p>
    <w:p w14:paraId="5B3FD3C8">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33E54332">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加</w:t>
      </w:r>
      <w:r>
        <w:rPr>
          <w:rFonts w:hint="eastAsia" w:ascii="仿宋" w:hAnsi="仿宋" w:eastAsia="仿宋"/>
          <w:sz w:val="32"/>
          <w:szCs w:val="32"/>
          <w:lang w:eastAsia="zh-CN"/>
        </w:rPr>
        <w:t>强对</w:t>
      </w:r>
      <w:r>
        <w:rPr>
          <w:rFonts w:hint="eastAsia" w:ascii="仿宋" w:hAnsi="仿宋" w:eastAsia="仿宋"/>
          <w:sz w:val="32"/>
          <w:szCs w:val="32"/>
        </w:rPr>
        <w:t>部门预算整体绩效管理的指导和培训，增</w:t>
      </w:r>
      <w:r>
        <w:rPr>
          <w:rFonts w:hint="eastAsia" w:ascii="仿宋" w:hAnsi="仿宋" w:eastAsia="仿宋"/>
          <w:sz w:val="32"/>
          <w:szCs w:val="32"/>
          <w:lang w:eastAsia="zh-CN"/>
        </w:rPr>
        <w:t>强和</w:t>
      </w:r>
      <w:r>
        <w:rPr>
          <w:rFonts w:hint="eastAsia" w:ascii="仿宋" w:hAnsi="仿宋" w:eastAsia="仿宋"/>
          <w:sz w:val="32"/>
          <w:szCs w:val="32"/>
        </w:rPr>
        <w:t>提高绩效管理业务人员绩效管理能力、专业素质和思想水平。</w:t>
      </w:r>
    </w:p>
    <w:p w14:paraId="23790EF4">
      <w:pPr>
        <w:numPr>
          <w:ilvl w:val="0"/>
          <w:numId w:val="0"/>
        </w:numPr>
        <w:spacing w:line="560" w:lineRule="exact"/>
        <w:rPr>
          <w:rFonts w:hint="eastAsia" w:ascii="楷体" w:hAnsi="楷体" w:eastAsia="楷体"/>
          <w:bCs/>
          <w:sz w:val="32"/>
          <w:szCs w:val="32"/>
        </w:rPr>
      </w:pPr>
    </w:p>
    <w:p w14:paraId="21786A9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4"/>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7"/>
        <w:gridCol w:w="2144"/>
        <w:gridCol w:w="3119"/>
        <w:gridCol w:w="1750"/>
      </w:tblGrid>
      <w:tr w14:paraId="2B3AC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507" w:type="dxa"/>
            <w:tcBorders>
              <w:top w:val="single" w:color="auto" w:sz="4" w:space="0"/>
              <w:left w:val="single" w:color="auto" w:sz="4" w:space="0"/>
              <w:bottom w:val="single" w:color="auto" w:sz="4" w:space="0"/>
              <w:right w:val="single" w:color="auto" w:sz="4" w:space="0"/>
            </w:tcBorders>
            <w:shd w:val="clear" w:color="auto" w:fill="auto"/>
            <w:vAlign w:val="center"/>
          </w:tcPr>
          <w:p w14:paraId="5209DF7A">
            <w:pPr>
              <w:spacing w:line="520" w:lineRule="exact"/>
              <w:jc w:val="center"/>
              <w:rPr>
                <w:rFonts w:ascii="仿宋" w:hAnsi="仿宋" w:eastAsia="仿宋" w:cs="仿宋"/>
                <w:sz w:val="32"/>
                <w:szCs w:val="32"/>
              </w:rPr>
            </w:pPr>
            <w:r>
              <w:rPr>
                <w:rFonts w:hint="eastAsia" w:ascii="仿宋" w:hAnsi="仿宋" w:eastAsia="仿宋" w:cs="仿宋"/>
                <w:kern w:val="0"/>
                <w:sz w:val="32"/>
                <w:szCs w:val="32"/>
              </w:rPr>
              <w:t>姓名</w:t>
            </w:r>
          </w:p>
        </w:tc>
        <w:tc>
          <w:tcPr>
            <w:tcW w:w="2144" w:type="dxa"/>
            <w:tcBorders>
              <w:top w:val="single" w:color="auto" w:sz="4" w:space="0"/>
              <w:left w:val="single" w:color="auto" w:sz="4" w:space="0"/>
              <w:bottom w:val="single" w:color="auto" w:sz="4" w:space="0"/>
              <w:right w:val="single" w:color="auto" w:sz="4" w:space="0"/>
            </w:tcBorders>
            <w:shd w:val="clear" w:color="auto" w:fill="auto"/>
            <w:vAlign w:val="center"/>
          </w:tcPr>
          <w:p w14:paraId="763EF263">
            <w:pPr>
              <w:spacing w:line="520" w:lineRule="exact"/>
              <w:jc w:val="center"/>
              <w:rPr>
                <w:rFonts w:ascii="仿宋" w:hAnsi="仿宋" w:eastAsia="仿宋" w:cs="仿宋"/>
                <w:sz w:val="32"/>
                <w:szCs w:val="32"/>
              </w:rPr>
            </w:pPr>
            <w:r>
              <w:rPr>
                <w:rFonts w:hint="eastAsia" w:ascii="仿宋" w:hAnsi="仿宋" w:eastAsia="仿宋" w:cs="仿宋"/>
                <w:kern w:val="0"/>
                <w:sz w:val="32"/>
                <w:szCs w:val="32"/>
              </w:rPr>
              <w:t>单位</w:t>
            </w:r>
          </w:p>
        </w:tc>
        <w:tc>
          <w:tcPr>
            <w:tcW w:w="3119" w:type="dxa"/>
            <w:tcBorders>
              <w:top w:val="single" w:color="auto" w:sz="4" w:space="0"/>
              <w:left w:val="single" w:color="auto" w:sz="4" w:space="0"/>
              <w:bottom w:val="single" w:color="auto" w:sz="4" w:space="0"/>
              <w:right w:val="single" w:color="auto" w:sz="4" w:space="0"/>
            </w:tcBorders>
            <w:shd w:val="clear" w:color="auto" w:fill="auto"/>
            <w:vAlign w:val="center"/>
          </w:tcPr>
          <w:p w14:paraId="24230A3C">
            <w:pPr>
              <w:spacing w:line="520" w:lineRule="exact"/>
              <w:jc w:val="center"/>
              <w:rPr>
                <w:rFonts w:ascii="仿宋" w:hAnsi="仿宋" w:eastAsia="仿宋" w:cs="仿宋"/>
                <w:sz w:val="32"/>
                <w:szCs w:val="32"/>
              </w:rPr>
            </w:pPr>
            <w:r>
              <w:rPr>
                <w:rFonts w:hint="eastAsia" w:ascii="仿宋" w:hAnsi="仿宋" w:eastAsia="仿宋" w:cs="仿宋"/>
                <w:kern w:val="0"/>
                <w:sz w:val="32"/>
                <w:szCs w:val="32"/>
              </w:rPr>
              <w:t>职务（职称）</w:t>
            </w:r>
          </w:p>
        </w:tc>
        <w:tc>
          <w:tcPr>
            <w:tcW w:w="1750" w:type="dxa"/>
            <w:tcBorders>
              <w:top w:val="single" w:color="auto" w:sz="4" w:space="0"/>
              <w:left w:val="single" w:color="auto" w:sz="4" w:space="0"/>
              <w:bottom w:val="single" w:color="auto" w:sz="4" w:space="0"/>
              <w:right w:val="single" w:color="auto" w:sz="4" w:space="0"/>
            </w:tcBorders>
            <w:shd w:val="clear" w:color="auto" w:fill="auto"/>
            <w:vAlign w:val="center"/>
          </w:tcPr>
          <w:p w14:paraId="305F5380">
            <w:pPr>
              <w:spacing w:line="520" w:lineRule="exact"/>
              <w:jc w:val="center"/>
              <w:rPr>
                <w:rFonts w:ascii="仿宋" w:hAnsi="仿宋" w:eastAsia="仿宋" w:cs="仿宋"/>
                <w:sz w:val="28"/>
                <w:szCs w:val="28"/>
              </w:rPr>
            </w:pPr>
            <w:r>
              <w:rPr>
                <w:rFonts w:hint="eastAsia" w:ascii="仿宋" w:hAnsi="仿宋" w:eastAsia="仿宋" w:cs="仿宋"/>
                <w:kern w:val="0"/>
                <w:sz w:val="28"/>
                <w:szCs w:val="28"/>
              </w:rPr>
              <w:t>签字</w:t>
            </w:r>
          </w:p>
        </w:tc>
      </w:tr>
      <w:tr w14:paraId="6DB24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exact"/>
          <w:jc w:val="center"/>
        </w:trPr>
        <w:tc>
          <w:tcPr>
            <w:tcW w:w="1507" w:type="dxa"/>
            <w:tcBorders>
              <w:top w:val="single" w:color="auto" w:sz="4" w:space="0"/>
              <w:left w:val="single" w:color="auto" w:sz="4" w:space="0"/>
              <w:bottom w:val="single" w:color="auto" w:sz="4" w:space="0"/>
              <w:right w:val="single" w:color="auto" w:sz="4" w:space="0"/>
            </w:tcBorders>
            <w:shd w:val="clear" w:color="auto" w:fill="auto"/>
            <w:vAlign w:val="center"/>
          </w:tcPr>
          <w:p w14:paraId="65F97A15">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胡志强</w:t>
            </w:r>
          </w:p>
        </w:tc>
        <w:tc>
          <w:tcPr>
            <w:tcW w:w="2144" w:type="dxa"/>
            <w:tcBorders>
              <w:top w:val="single" w:color="auto" w:sz="4" w:space="0"/>
              <w:left w:val="single" w:color="auto" w:sz="4" w:space="0"/>
              <w:bottom w:val="single" w:color="auto" w:sz="4" w:space="0"/>
              <w:right w:val="single" w:color="auto" w:sz="4" w:space="0"/>
            </w:tcBorders>
            <w:shd w:val="clear" w:color="auto" w:fill="auto"/>
            <w:vAlign w:val="center"/>
          </w:tcPr>
          <w:p w14:paraId="2D115C03">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农业农村局</w:t>
            </w:r>
          </w:p>
        </w:tc>
        <w:tc>
          <w:tcPr>
            <w:tcW w:w="3119" w:type="dxa"/>
            <w:tcBorders>
              <w:top w:val="single" w:color="auto" w:sz="4" w:space="0"/>
              <w:left w:val="single" w:color="auto" w:sz="4" w:space="0"/>
              <w:bottom w:val="single" w:color="auto" w:sz="4" w:space="0"/>
              <w:right w:val="single" w:color="auto" w:sz="4" w:space="0"/>
            </w:tcBorders>
            <w:shd w:val="clear" w:color="auto" w:fill="auto"/>
            <w:vAlign w:val="center"/>
          </w:tcPr>
          <w:p w14:paraId="380EC44C">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副局长</w:t>
            </w:r>
          </w:p>
        </w:tc>
        <w:tc>
          <w:tcPr>
            <w:tcW w:w="1750" w:type="dxa"/>
            <w:tcBorders>
              <w:top w:val="single" w:color="auto" w:sz="4" w:space="0"/>
              <w:left w:val="single" w:color="auto" w:sz="4" w:space="0"/>
              <w:bottom w:val="single" w:color="auto" w:sz="4" w:space="0"/>
              <w:right w:val="single" w:color="auto" w:sz="4" w:space="0"/>
            </w:tcBorders>
            <w:shd w:val="clear" w:color="auto" w:fill="auto"/>
          </w:tcPr>
          <w:p w14:paraId="0BB6E602">
            <w:pPr>
              <w:spacing w:line="520" w:lineRule="exact"/>
              <w:jc w:val="center"/>
              <w:rPr>
                <w:rFonts w:ascii="仿宋" w:hAnsi="仿宋" w:eastAsia="仿宋" w:cs="仿宋"/>
                <w:kern w:val="0"/>
                <w:sz w:val="28"/>
                <w:szCs w:val="28"/>
              </w:rPr>
            </w:pPr>
          </w:p>
        </w:tc>
      </w:tr>
      <w:tr w14:paraId="53C95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07" w:type="dxa"/>
            <w:tcBorders>
              <w:top w:val="single" w:color="auto" w:sz="4" w:space="0"/>
              <w:left w:val="single" w:color="auto" w:sz="4" w:space="0"/>
              <w:bottom w:val="single" w:color="auto" w:sz="4" w:space="0"/>
              <w:right w:val="single" w:color="auto" w:sz="4" w:space="0"/>
            </w:tcBorders>
            <w:shd w:val="clear" w:color="auto" w:fill="auto"/>
            <w:vAlign w:val="center"/>
          </w:tcPr>
          <w:p w14:paraId="5B12AAC1">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张恒力</w:t>
            </w:r>
          </w:p>
        </w:tc>
        <w:tc>
          <w:tcPr>
            <w:tcW w:w="2144" w:type="dxa"/>
            <w:tcBorders>
              <w:top w:val="single" w:color="auto" w:sz="4" w:space="0"/>
              <w:left w:val="single" w:color="auto" w:sz="4" w:space="0"/>
              <w:bottom w:val="single" w:color="auto" w:sz="4" w:space="0"/>
              <w:right w:val="single" w:color="auto" w:sz="4" w:space="0"/>
            </w:tcBorders>
            <w:shd w:val="clear" w:color="auto" w:fill="auto"/>
          </w:tcPr>
          <w:p w14:paraId="65D74BD4">
            <w:pPr>
              <w:rPr>
                <w:sz w:val="32"/>
                <w:szCs w:val="32"/>
              </w:rPr>
            </w:pPr>
            <w:r>
              <w:rPr>
                <w:rFonts w:hint="eastAsia" w:ascii="仿宋" w:hAnsi="仿宋" w:eastAsia="仿宋" w:cs="仿宋"/>
                <w:kern w:val="0"/>
                <w:sz w:val="32"/>
                <w:szCs w:val="32"/>
              </w:rPr>
              <w:t>农业农村局</w:t>
            </w:r>
          </w:p>
        </w:tc>
        <w:tc>
          <w:tcPr>
            <w:tcW w:w="3119" w:type="dxa"/>
            <w:tcBorders>
              <w:top w:val="single" w:color="auto" w:sz="4" w:space="0"/>
              <w:left w:val="single" w:color="auto" w:sz="4" w:space="0"/>
              <w:bottom w:val="single" w:color="auto" w:sz="4" w:space="0"/>
              <w:right w:val="single" w:color="auto" w:sz="4" w:space="0"/>
            </w:tcBorders>
            <w:shd w:val="clear" w:color="auto" w:fill="auto"/>
            <w:vAlign w:val="center"/>
          </w:tcPr>
          <w:p w14:paraId="65A1CC64">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股长</w:t>
            </w:r>
          </w:p>
        </w:tc>
        <w:tc>
          <w:tcPr>
            <w:tcW w:w="1750" w:type="dxa"/>
            <w:tcBorders>
              <w:top w:val="single" w:color="auto" w:sz="4" w:space="0"/>
              <w:left w:val="single" w:color="auto" w:sz="4" w:space="0"/>
              <w:bottom w:val="single" w:color="auto" w:sz="4" w:space="0"/>
              <w:right w:val="single" w:color="auto" w:sz="4" w:space="0"/>
            </w:tcBorders>
            <w:shd w:val="clear" w:color="auto" w:fill="auto"/>
          </w:tcPr>
          <w:p w14:paraId="76ACA6F8">
            <w:pPr>
              <w:spacing w:line="520" w:lineRule="exact"/>
              <w:jc w:val="center"/>
              <w:rPr>
                <w:rFonts w:ascii="仿宋" w:hAnsi="仿宋" w:eastAsia="仿宋" w:cs="仿宋"/>
                <w:kern w:val="0"/>
                <w:sz w:val="28"/>
                <w:szCs w:val="28"/>
              </w:rPr>
            </w:pPr>
          </w:p>
        </w:tc>
      </w:tr>
      <w:tr w14:paraId="0AF96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07" w:type="dxa"/>
            <w:tcBorders>
              <w:top w:val="single" w:color="auto" w:sz="4" w:space="0"/>
              <w:left w:val="single" w:color="auto" w:sz="4" w:space="0"/>
              <w:bottom w:val="single" w:color="auto" w:sz="4" w:space="0"/>
              <w:right w:val="single" w:color="auto" w:sz="4" w:space="0"/>
            </w:tcBorders>
            <w:shd w:val="clear" w:color="auto" w:fill="auto"/>
            <w:vAlign w:val="center"/>
          </w:tcPr>
          <w:p w14:paraId="6215D825">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郭建静</w:t>
            </w:r>
          </w:p>
        </w:tc>
        <w:tc>
          <w:tcPr>
            <w:tcW w:w="2144" w:type="dxa"/>
            <w:tcBorders>
              <w:top w:val="single" w:color="auto" w:sz="4" w:space="0"/>
              <w:left w:val="single" w:color="auto" w:sz="4" w:space="0"/>
              <w:bottom w:val="single" w:color="auto" w:sz="4" w:space="0"/>
              <w:right w:val="single" w:color="auto" w:sz="4" w:space="0"/>
            </w:tcBorders>
            <w:shd w:val="clear" w:color="auto" w:fill="auto"/>
          </w:tcPr>
          <w:p w14:paraId="052594F6">
            <w:pPr>
              <w:rPr>
                <w:sz w:val="32"/>
                <w:szCs w:val="32"/>
              </w:rPr>
            </w:pPr>
            <w:bookmarkStart w:id="0" w:name="OLE_LINK1"/>
            <w:bookmarkStart w:id="1" w:name="OLE_LINK2"/>
            <w:r>
              <w:rPr>
                <w:rFonts w:hint="eastAsia" w:ascii="仿宋" w:hAnsi="仿宋" w:eastAsia="仿宋" w:cs="仿宋"/>
                <w:kern w:val="0"/>
                <w:sz w:val="32"/>
                <w:szCs w:val="32"/>
              </w:rPr>
              <w:t>农业农村局</w:t>
            </w:r>
            <w:bookmarkEnd w:id="0"/>
            <w:bookmarkEnd w:id="1"/>
          </w:p>
        </w:tc>
        <w:tc>
          <w:tcPr>
            <w:tcW w:w="3119" w:type="dxa"/>
            <w:tcBorders>
              <w:top w:val="single" w:color="auto" w:sz="4" w:space="0"/>
              <w:left w:val="single" w:color="auto" w:sz="4" w:space="0"/>
              <w:bottom w:val="single" w:color="auto" w:sz="4" w:space="0"/>
              <w:right w:val="single" w:color="auto" w:sz="4" w:space="0"/>
            </w:tcBorders>
            <w:shd w:val="clear" w:color="auto" w:fill="auto"/>
            <w:vAlign w:val="center"/>
          </w:tcPr>
          <w:p w14:paraId="3DCB582E">
            <w:pPr>
              <w:spacing w:line="520" w:lineRule="exact"/>
              <w:jc w:val="center"/>
              <w:rPr>
                <w:rFonts w:ascii="仿宋" w:hAnsi="仿宋" w:eastAsia="仿宋" w:cs="仿宋"/>
                <w:kern w:val="0"/>
                <w:sz w:val="32"/>
                <w:szCs w:val="32"/>
              </w:rPr>
            </w:pPr>
          </w:p>
        </w:tc>
        <w:tc>
          <w:tcPr>
            <w:tcW w:w="1750" w:type="dxa"/>
            <w:tcBorders>
              <w:top w:val="single" w:color="auto" w:sz="4" w:space="0"/>
              <w:left w:val="single" w:color="auto" w:sz="4" w:space="0"/>
              <w:bottom w:val="single" w:color="auto" w:sz="4" w:space="0"/>
              <w:right w:val="single" w:color="auto" w:sz="4" w:space="0"/>
            </w:tcBorders>
            <w:shd w:val="clear" w:color="auto" w:fill="auto"/>
          </w:tcPr>
          <w:p w14:paraId="3346E706">
            <w:pPr>
              <w:spacing w:line="520" w:lineRule="exact"/>
              <w:jc w:val="center"/>
              <w:rPr>
                <w:rFonts w:ascii="仿宋" w:hAnsi="仿宋" w:eastAsia="仿宋" w:cs="仿宋"/>
                <w:kern w:val="0"/>
                <w:sz w:val="28"/>
                <w:szCs w:val="28"/>
              </w:rPr>
            </w:pPr>
          </w:p>
        </w:tc>
      </w:tr>
      <w:tr w14:paraId="37B40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07" w:type="dxa"/>
            <w:tcBorders>
              <w:top w:val="single" w:color="auto" w:sz="4" w:space="0"/>
              <w:left w:val="single" w:color="auto" w:sz="4" w:space="0"/>
              <w:bottom w:val="single" w:color="auto" w:sz="4" w:space="0"/>
              <w:right w:val="single" w:color="auto" w:sz="4" w:space="0"/>
            </w:tcBorders>
            <w:shd w:val="clear" w:color="auto" w:fill="auto"/>
            <w:vAlign w:val="center"/>
          </w:tcPr>
          <w:p w14:paraId="3057AFAC">
            <w:pPr>
              <w:spacing w:line="52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周彬飞</w:t>
            </w:r>
          </w:p>
        </w:tc>
        <w:tc>
          <w:tcPr>
            <w:tcW w:w="2144" w:type="dxa"/>
            <w:tcBorders>
              <w:top w:val="single" w:color="auto" w:sz="4" w:space="0"/>
              <w:left w:val="single" w:color="auto" w:sz="4" w:space="0"/>
              <w:bottom w:val="single" w:color="auto" w:sz="4" w:space="0"/>
              <w:right w:val="single" w:color="auto" w:sz="4" w:space="0"/>
            </w:tcBorders>
            <w:shd w:val="clear" w:color="auto" w:fill="auto"/>
          </w:tcPr>
          <w:p w14:paraId="579400FB">
            <w:pPr>
              <w:rPr>
                <w:sz w:val="32"/>
                <w:szCs w:val="32"/>
              </w:rPr>
            </w:pPr>
            <w:r>
              <w:rPr>
                <w:rFonts w:hint="eastAsia" w:ascii="仿宋" w:hAnsi="仿宋" w:eastAsia="仿宋" w:cs="仿宋"/>
                <w:kern w:val="0"/>
                <w:sz w:val="32"/>
                <w:szCs w:val="32"/>
              </w:rPr>
              <w:t>农业农村局</w:t>
            </w:r>
          </w:p>
        </w:tc>
        <w:tc>
          <w:tcPr>
            <w:tcW w:w="3119" w:type="dxa"/>
            <w:tcBorders>
              <w:top w:val="single" w:color="auto" w:sz="4" w:space="0"/>
              <w:left w:val="single" w:color="auto" w:sz="4" w:space="0"/>
              <w:bottom w:val="single" w:color="auto" w:sz="4" w:space="0"/>
              <w:right w:val="single" w:color="auto" w:sz="4" w:space="0"/>
            </w:tcBorders>
            <w:shd w:val="clear" w:color="auto" w:fill="auto"/>
            <w:vAlign w:val="center"/>
          </w:tcPr>
          <w:p w14:paraId="5A951E43">
            <w:pPr>
              <w:spacing w:line="520" w:lineRule="exact"/>
              <w:jc w:val="center"/>
              <w:rPr>
                <w:rFonts w:ascii="仿宋" w:hAnsi="仿宋" w:eastAsia="仿宋" w:cs="仿宋"/>
                <w:kern w:val="0"/>
                <w:sz w:val="32"/>
                <w:szCs w:val="32"/>
              </w:rPr>
            </w:pPr>
          </w:p>
        </w:tc>
        <w:tc>
          <w:tcPr>
            <w:tcW w:w="1750" w:type="dxa"/>
            <w:tcBorders>
              <w:top w:val="single" w:color="auto" w:sz="4" w:space="0"/>
              <w:left w:val="single" w:color="auto" w:sz="4" w:space="0"/>
              <w:bottom w:val="single" w:color="auto" w:sz="4" w:space="0"/>
              <w:right w:val="single" w:color="auto" w:sz="4" w:space="0"/>
            </w:tcBorders>
            <w:shd w:val="clear" w:color="auto" w:fill="auto"/>
          </w:tcPr>
          <w:p w14:paraId="6C71E090">
            <w:pPr>
              <w:spacing w:line="520" w:lineRule="exact"/>
              <w:jc w:val="center"/>
              <w:rPr>
                <w:rFonts w:ascii="仿宋" w:hAnsi="仿宋" w:eastAsia="仿宋" w:cs="仿宋"/>
                <w:kern w:val="0"/>
                <w:sz w:val="28"/>
                <w:szCs w:val="28"/>
              </w:rPr>
            </w:pPr>
          </w:p>
        </w:tc>
      </w:tr>
      <w:tr w14:paraId="116B4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07" w:type="dxa"/>
            <w:tcBorders>
              <w:top w:val="single" w:color="auto" w:sz="4" w:space="0"/>
              <w:left w:val="single" w:color="auto" w:sz="4" w:space="0"/>
              <w:bottom w:val="single" w:color="auto" w:sz="4" w:space="0"/>
              <w:right w:val="single" w:color="auto" w:sz="4" w:space="0"/>
            </w:tcBorders>
            <w:shd w:val="clear" w:color="auto" w:fill="auto"/>
            <w:vAlign w:val="center"/>
          </w:tcPr>
          <w:p w14:paraId="2610D2AE">
            <w:pPr>
              <w:spacing w:line="520" w:lineRule="exact"/>
              <w:jc w:val="center"/>
              <w:rPr>
                <w:rFonts w:ascii="仿宋" w:hAnsi="仿宋" w:eastAsia="仿宋" w:cs="仿宋"/>
                <w:kern w:val="0"/>
                <w:sz w:val="32"/>
                <w:szCs w:val="32"/>
              </w:rPr>
            </w:pPr>
            <w:r>
              <w:rPr>
                <w:rFonts w:hint="eastAsia" w:ascii="仿宋" w:hAnsi="仿宋" w:eastAsia="仿宋" w:cs="仿宋"/>
                <w:kern w:val="0"/>
                <w:sz w:val="32"/>
                <w:szCs w:val="32"/>
              </w:rPr>
              <w:t>徐欢欢</w:t>
            </w:r>
          </w:p>
        </w:tc>
        <w:tc>
          <w:tcPr>
            <w:tcW w:w="2144" w:type="dxa"/>
            <w:tcBorders>
              <w:top w:val="single" w:color="auto" w:sz="4" w:space="0"/>
              <w:left w:val="single" w:color="auto" w:sz="4" w:space="0"/>
              <w:bottom w:val="single" w:color="auto" w:sz="4" w:space="0"/>
              <w:right w:val="single" w:color="auto" w:sz="4" w:space="0"/>
            </w:tcBorders>
            <w:shd w:val="clear" w:color="auto" w:fill="auto"/>
          </w:tcPr>
          <w:p w14:paraId="689C7A0F">
            <w:pPr>
              <w:rPr>
                <w:sz w:val="32"/>
                <w:szCs w:val="32"/>
              </w:rPr>
            </w:pPr>
            <w:r>
              <w:rPr>
                <w:rFonts w:hint="eastAsia" w:ascii="仿宋" w:hAnsi="仿宋" w:eastAsia="仿宋" w:cs="仿宋"/>
                <w:kern w:val="0"/>
                <w:sz w:val="32"/>
                <w:szCs w:val="32"/>
              </w:rPr>
              <w:t>农业农村局</w:t>
            </w:r>
          </w:p>
        </w:tc>
        <w:tc>
          <w:tcPr>
            <w:tcW w:w="3119" w:type="dxa"/>
            <w:tcBorders>
              <w:top w:val="single" w:color="auto" w:sz="4" w:space="0"/>
              <w:left w:val="single" w:color="auto" w:sz="4" w:space="0"/>
              <w:bottom w:val="single" w:color="auto" w:sz="4" w:space="0"/>
              <w:right w:val="single" w:color="auto" w:sz="4" w:space="0"/>
            </w:tcBorders>
            <w:shd w:val="clear" w:color="auto" w:fill="auto"/>
            <w:vAlign w:val="center"/>
          </w:tcPr>
          <w:p w14:paraId="09A82E45">
            <w:pPr>
              <w:spacing w:line="520" w:lineRule="exact"/>
              <w:jc w:val="center"/>
              <w:rPr>
                <w:rFonts w:ascii="仿宋" w:hAnsi="仿宋" w:eastAsia="仿宋" w:cs="仿宋"/>
                <w:kern w:val="0"/>
                <w:sz w:val="32"/>
                <w:szCs w:val="32"/>
              </w:rPr>
            </w:pPr>
          </w:p>
        </w:tc>
        <w:tc>
          <w:tcPr>
            <w:tcW w:w="1750" w:type="dxa"/>
            <w:tcBorders>
              <w:top w:val="single" w:color="auto" w:sz="4" w:space="0"/>
              <w:left w:val="single" w:color="auto" w:sz="4" w:space="0"/>
              <w:bottom w:val="single" w:color="auto" w:sz="4" w:space="0"/>
              <w:right w:val="single" w:color="auto" w:sz="4" w:space="0"/>
            </w:tcBorders>
            <w:shd w:val="clear" w:color="auto" w:fill="auto"/>
          </w:tcPr>
          <w:p w14:paraId="5C526424">
            <w:pPr>
              <w:spacing w:line="520" w:lineRule="exact"/>
              <w:jc w:val="center"/>
              <w:rPr>
                <w:rFonts w:ascii="仿宋" w:hAnsi="仿宋" w:eastAsia="仿宋" w:cs="仿宋"/>
                <w:kern w:val="0"/>
                <w:sz w:val="28"/>
                <w:szCs w:val="28"/>
              </w:rPr>
            </w:pPr>
          </w:p>
        </w:tc>
      </w:tr>
    </w:tbl>
    <w:p w14:paraId="3AC4843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Times-Roman">
    <w:altName w:val="Times New Roman"/>
    <w:panose1 w:val="00000000000000000000"/>
    <w:charset w:val="00"/>
    <w:family w:val="auto"/>
    <w:pitch w:val="default"/>
    <w:sig w:usb0="00000000" w:usb1="00000000" w:usb2="00000000" w:usb3="00000000" w:csb0="00040001" w:csb1="00000000"/>
  </w:font>
  <w:font w:name="MS Gothic">
    <w:panose1 w:val="020B0609070205080204"/>
    <w:charset w:val="80"/>
    <w:family w:val="modern"/>
    <w:pitch w:val="default"/>
    <w:sig w:usb0="E00002FF" w:usb1="6AC7FDFB" w:usb2="08000012" w:usb3="00000000" w:csb0="4002009F" w:csb1="DFD7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DB9C1">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3B836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955787"/>
    <w:multiLevelType w:val="singleLevel"/>
    <w:tmpl w:val="8C955787"/>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EB97A43"/>
    <w:rsid w:val="0EBD2122"/>
    <w:rsid w:val="0F214EAE"/>
    <w:rsid w:val="11B71E6A"/>
    <w:rsid w:val="1AAF0063"/>
    <w:rsid w:val="1BE140DE"/>
    <w:rsid w:val="1D491BD5"/>
    <w:rsid w:val="23E472B8"/>
    <w:rsid w:val="248C197D"/>
    <w:rsid w:val="252959AF"/>
    <w:rsid w:val="277A6671"/>
    <w:rsid w:val="281A529E"/>
    <w:rsid w:val="292D35B7"/>
    <w:rsid w:val="2F300FB0"/>
    <w:rsid w:val="2FEC3129"/>
    <w:rsid w:val="33EB6CFF"/>
    <w:rsid w:val="342800CC"/>
    <w:rsid w:val="35A12947"/>
    <w:rsid w:val="37387040"/>
    <w:rsid w:val="3A7C2BAF"/>
    <w:rsid w:val="3B625C0A"/>
    <w:rsid w:val="3CC82DAC"/>
    <w:rsid w:val="3CEE1963"/>
    <w:rsid w:val="421E370D"/>
    <w:rsid w:val="425F5043"/>
    <w:rsid w:val="436B78D3"/>
    <w:rsid w:val="4C9C27FE"/>
    <w:rsid w:val="4E180451"/>
    <w:rsid w:val="512260B4"/>
    <w:rsid w:val="52BD6ACB"/>
    <w:rsid w:val="54C35671"/>
    <w:rsid w:val="55537534"/>
    <w:rsid w:val="561A74F1"/>
    <w:rsid w:val="597244E8"/>
    <w:rsid w:val="5EB71C30"/>
    <w:rsid w:val="66AF0CE5"/>
    <w:rsid w:val="6AC537CF"/>
    <w:rsid w:val="6E5B14A6"/>
    <w:rsid w:val="711B255E"/>
    <w:rsid w:val="71EF7428"/>
    <w:rsid w:val="72343EE1"/>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2733</Words>
  <Characters>2900</Characters>
  <Lines>4</Lines>
  <Paragraphs>1</Paragraphs>
  <TotalTime>0</TotalTime>
  <ScaleCrop>false</ScaleCrop>
  <LinksUpToDate>false</LinksUpToDate>
  <CharactersWithSpaces>2923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寒梅</cp:lastModifiedBy>
  <cp:lastPrinted>2024-03-06T07:40:00Z</cp:lastPrinted>
  <dcterms:modified xsi:type="dcterms:W3CDTF">2026-04-17T06:51:38Z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eyJoZGlkIjoiYTdkOTBhNGQyNjJlZGYyMjAyNWNmM2Y1OWZjYzZiYmEiLCJ1c2VySWQiOiIxMTU4NDcyMzY3In0=</vt:lpwstr>
  </property>
</Properties>
</file>