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spacing w:line="600" w:lineRule="exact"/>
        <w:ind w:left="0" w:firstLineChars="0" w:firstLine="0"/>
        <w:rPr>
          <w:rFonts w:ascii="黑体" w:eastAsia="黑体" w:hAnsi="黑体" w:hint="eastAsia"/>
          <w:vanish w:val="0"/>
          <w:kern w:val="2"/>
          <w:sz w:val="32"/>
          <w:szCs w:val="32"/>
        </w:rPr>
      </w:pPr>
      <w:r>
        <w:rPr>
          <w:rFonts w:ascii="黑体" w:eastAsia="黑体" w:hAnsi="黑体" w:hint="eastAsia"/>
          <w:vanish w:val="0"/>
          <w:kern w:val="2"/>
          <w:sz w:val="32"/>
          <w:szCs w:val="32"/>
        </w:rPr>
        <w:t>附件1</w:t>
      </w:r>
    </w:p>
    <w:p>
      <w:pPr>
        <w:spacing w:line="600" w:lineRule="exact"/>
        <w:rPr>
          <w:rFonts w:ascii="Times New Roman" w:eastAsia="仿宋_GB2312" w:hAnsi="Times New Roman"/>
          <w:vanish w:val="0"/>
          <w:kern w:val="2"/>
          <w:sz w:val="32"/>
          <w:szCs w:val="32"/>
        </w:rPr>
      </w:pPr>
    </w:p>
    <w:p>
      <w:pPr>
        <w:pStyle w:val="15"/>
        <w:spacing w:line="600" w:lineRule="exact"/>
        <w:ind w:firstLineChars="0" w:firstLine="0"/>
        <w:jc w:val="center"/>
        <w:rPr>
          <w:rFonts w:ascii="方正小标宋_GBK" w:eastAsia="方正小标宋_GBK" w:hAnsi="方正小标宋_GBK" w:hint="eastAsia"/>
          <w:vanish w:val="0"/>
          <w:kern w:val="2"/>
          <w:sz w:val="44"/>
          <w:szCs w:val="44"/>
        </w:rPr>
      </w:pPr>
      <w:r>
        <w:rPr>
          <w:rFonts w:ascii="方正小标宋_GBK" w:eastAsia="方正小标宋_GBK" w:hAnsi="方正小标宋_GBK" w:hint="eastAsia"/>
          <w:vanish w:val="0"/>
          <w:kern w:val="2"/>
          <w:sz w:val="44"/>
          <w:szCs w:val="44"/>
        </w:rPr>
        <w:t>居家社区养老服务补贴项目清单</w:t>
      </w:r>
    </w:p>
    <w:tbl>
      <w:tblPr>
        <w:jc w:val="center"/>
        <w:tblW w:w="5643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6"/>
        <w:gridCol w:w="1528"/>
        <w:gridCol w:w="1115"/>
        <w:gridCol w:w="385"/>
        <w:gridCol w:w="950"/>
        <w:gridCol w:w="3207"/>
        <w:gridCol w:w="1569"/>
      </w:tblGrid>
      <w:tr>
        <w:trPr>
          <w:trHeight w:val="567"/>
        </w:trPr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类别</w:t>
            </w:r>
          </w:p>
        </w:tc>
        <w:tc>
          <w:tcPr>
            <w:tcW w:w="267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349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服务内容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黑体" w:eastAsia="黑体" w:hAnsi="黑体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服务参考时长（次）</w:t>
            </w:r>
          </w:p>
        </w:tc>
      </w:tr>
      <w:tr>
        <w:trPr>
          <w:trHeight w:val="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聘用服务</w:t>
            </w: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聘用养老护理员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vanish w:val="0"/>
                <w:kern w:val="2"/>
                <w:sz w:val="28"/>
                <w:szCs w:val="28"/>
                <w:lang w:val="en-US" w:eastAsia="zh-CN"/>
              </w:rPr>
              <w:t>全职或兼职为居家老年人提供专业养老服务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按天或小时计算</w:t>
            </w:r>
          </w:p>
        </w:tc>
      </w:tr>
      <w:tr>
        <w:trPr>
          <w:trHeight w:val="283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个性化服务</w:t>
            </w: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服务包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根据老年人需求情况提供包括“六助”、基础照护服务、健康管理服务等在内的打包式服务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根据实际情况而定</w:t>
            </w:r>
          </w:p>
        </w:tc>
      </w:tr>
      <w:tr>
        <w:trPr>
          <w:trHeight w:val="283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生活照料服务</w:t>
            </w:r>
          </w:p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助餐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上门送餐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根据老年人的订餐信息，为其送餐上门（仅为配送费，不包括餐费）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5-20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协助进食（水）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对不能自主进食（水）的老年人，提供进食（水）服务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鼻饲服务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为需要鼻饲的老年人提供鼻饲服务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10-30分钟</w:t>
            </w:r>
          </w:p>
        </w:tc>
      </w:tr>
      <w:tr>
        <w:trPr>
          <w:trHeight w:val="47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助浴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上门擦浴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对老年人进行局部或全身擦浴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16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上门洗浴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使用专业设备为老年人进行洗浴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30-90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426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门店助浴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协助老年人前往门店助浴点进行洗浴（含出行费用）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40-180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356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助洁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手部清洁护理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根据老年人手部皮肤情况，选择适宜的方法对其手部进行清洗，包括但不限于清理死皮、指甲护理等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86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生活照料服务</w:t>
            </w:r>
          </w:p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助洁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足部清洁护理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根据老年人足部皮肤情况，选择适宜的方法对其足部进行清洗，包括但不限于清理死皮、趾甲护理等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</w:tr>
      <w:tr>
        <w:trPr>
          <w:trHeight w:val="126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头面部清洁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为老年人清洁面部、梳理头发，为男性老年人剃须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821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口腔清洁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用棉棒、棉球等方式清洁老年人的口腔，清除食物残渣，清洗牙齿、舌头、口腔内黏膜，清除口腔异味，处理溃疡面，清洗假牙等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03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洗发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为老年人清洗头发并吹干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理发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为老年人修剪头发、清洗头发并吹干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721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二便清洁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为老年人进行二便后身体的局部清洗，并视情对裤子、床垫等物品上的排泄物进行处理和消毒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15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br/>
              <w:br/>
              <w:br/>
              <w:br/>
              <w:br/>
              <w:br/>
              <w:br/>
              <w:br/>
              <w:br/>
              <w:br/>
              <w:br/>
              <w:br/>
              <w:br/>
              <w:br/>
              <w:t>生活照料服务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生活照料服务</w:t>
              <w:br/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助洁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会阴清洁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根据老年人会阴部有无伤口、有无大小便失禁和留置尿管等情况，协助其完成会阴部的擦洗或冲洗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20-40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21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整理卧床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为老年人整理卧床，包括更换床单、被褥、护理垫等，清理杂物，保持床面平整、干净，无碎屑、无潮湿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5-15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21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清洁居室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为老年人提供客厅、卫生间、厨房等房间的日常清洁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30-60分钟</w:t>
            </w:r>
          </w:p>
        </w:tc>
      </w:tr>
      <w:tr>
        <w:trPr>
          <w:trHeight w:val="221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洗涤服务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为老年人提供衣物、床上用品、窗帘等物品的洗涤及晾晒服务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30-60分钟</w:t>
            </w:r>
          </w:p>
        </w:tc>
      </w:tr>
      <w:tr>
        <w:trPr>
          <w:trHeight w:val="260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协助更衣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根据老年人的病情、意识、肌力、合作程度以及有无肢体偏瘫及引流管等情况，选择适合的更衣顺序为老年人穿脱衣物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5-15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428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助行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室内移位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根据老年人身体状况选择适宜的移动工具，协助其在室内移动和移位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778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室外助行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通过护理人员或助行设备等，协助老年人在室外活动（含上下楼助行费用）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20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上、下楼助行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协助老年人设备辅助上、下楼梯（限于步梯场景）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根据实际情况发生</w:t>
            </w:r>
          </w:p>
        </w:tc>
      </w:tr>
      <w:tr>
        <w:trPr>
          <w:trHeight w:val="172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助急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为老年人提供紧急呼叫、紧急转介等服务（不包括使用车辆产生的交通费用等）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根据实际情况发生</w:t>
            </w:r>
          </w:p>
        </w:tc>
      </w:tr>
      <w:tr>
        <w:trPr>
          <w:trHeight w:val="175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助医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陪同就医、治疗陪伴</w:t>
            </w:r>
          </w:p>
        </w:tc>
        <w:tc>
          <w:tcPr>
            <w:tcW w:w="3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为老年人就医和转诊提供陪同就医等（不包括使用车辆产生的交通费用等）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根据实际情况发生</w:t>
            </w:r>
          </w:p>
        </w:tc>
      </w:tr>
      <w:tr>
        <w:trPr>
          <w:trHeight w:val="175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代办取药、送药上门</w:t>
            </w:r>
          </w:p>
        </w:tc>
        <w:tc>
          <w:tcPr>
            <w:tcW w:w="3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为老年人提供代办取药、送药上门等</w:t>
            </w:r>
            <w:r>
              <w:rPr>
                <w:rFonts w:ascii="仿宋_GB2312" w:eastAsia="仿宋_GB2312" w:hAnsi="Times New Roman" w:hint="eastAsia"/>
                <w:vanish w:val="0"/>
                <w:kern w:val="2"/>
                <w:sz w:val="28"/>
                <w:szCs w:val="28"/>
                <w:lang w:val="en-US" w:eastAsia="zh-CN"/>
              </w:rPr>
              <w:t>（不包括使用车辆产生的交通费用等）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根据实际情况发生</w:t>
            </w:r>
          </w:p>
        </w:tc>
      </w:tr>
      <w:tr>
        <w:trPr>
          <w:trHeight w:val="71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基础照料服务</w:t>
            </w: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康复评估和计划制定</w:t>
            </w:r>
          </w:p>
        </w:tc>
        <w:tc>
          <w:tcPr>
            <w:tcW w:w="3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对老年人康复预期进行全面评估，并制定康复计划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30-60分钟</w:t>
            </w:r>
          </w:p>
        </w:tc>
      </w:tr>
      <w:tr>
        <w:trPr>
          <w:trHeight w:val="71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康复训练指导</w:t>
            </w:r>
          </w:p>
        </w:tc>
        <w:tc>
          <w:tcPr>
            <w:tcW w:w="3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对老年人及其监护人进行进食方法、个人卫生、脱穿衣裤鞋袜、移位等日常生活自理能力方面的训练示范及指导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21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康复训练服务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肢体训练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根据老年人身体运动能力，为其提供适宜的关节活动、肌肉功能维持和增强、手功能、姿态转换、平衡能力、站立、步态等肢体训练服务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762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吞咽功能训练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通过口唇舌下颌运动训练、摄食直接训练法、颈部及呼吸训练、物理治疗等方式为老年人提供吞咽能力训练服务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374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言语训练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通过刺激法、发音法、呼吸法、软腭运动等方法改善构音功能，利用实物、图片或仪器对老年人的听力、复述、朗读、阅读理解、书写等功能进行训练，为其提供言语功能训练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14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认知能力训练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使用专业的康复辅具及方法，对老年人的注意力、记忆力、判断力、执行能力等进行训练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46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康复辅具租赁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为老年人提供康复辅具租赁服务，包括拐杖、轮椅、护理床等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按天或月计算</w:t>
            </w:r>
          </w:p>
        </w:tc>
      </w:tr>
      <w:tr>
        <w:trPr>
          <w:trHeight w:val="467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药物喂服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协助老年人口服药物或涂擦、贴敷药品等服务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基础照料服务</w:t>
            </w: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协助翻身、体位变换、叩背排痰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选择合适的翻身频次、体位等为老年人提供翻身拍背，促进排痰等服务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648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</w:t>
            </w: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排泄护理、人工取便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小便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根据老年人生活自理能力情况，帮助其使用接便器，协助使用、更换纸尿裤等尿失禁用品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46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37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大便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根据老年人生活自理能力情况，帮助其使用接便器，为便秘的老年人给予开塞露通便或人工取便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00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38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排气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根据老年人生活自理能力情况，帮助其肠道蠕动排气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39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压疮预防护理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对易发生压疮的老年人采取定时翻身、气垫减压等方法预防压疮发生，按时为其提供压疮损伤护理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5-20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1328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Times New Roman" w:eastAsia="仿宋_GB2312" w:cs="方正仿宋_GBK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特殊皮肤护理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对老年人水肿、瘙痒、失禁性皮炎等特殊皮肤问题进行护理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10-30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</w:tr>
      <w:tr>
        <w:trPr>
          <w:trHeight w:val="251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Times New Roman" w:eastAsia="仿宋_GB2312" w:cs="方正仿宋_GBK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41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探访关爱服务</w:t>
            </w: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上门探访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上门了解掌握老年人的健康状况、精神状况、安全情况、卫生状况、居室环境、服务需求等基本情况，并为老年人提供心理疏导等服务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30-60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2145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42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健康管理服务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6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常规生理指数监测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监测血压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left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left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通过医疗器械电子血压计、水银血压计等为老年人提供血压监测服务，并做好记录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left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left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43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6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常规生理指数监测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监测血糖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对老年人手指实施采血，用血糖仪测得数值并做好记录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5-10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rPr>
          <w:trHeight w:val="390"/>
        </w:trP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44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推拿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运用不同手法，为老年人提供推拿服务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15-30</w:t>
            </w:r>
          </w:p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分钟</w:t>
            </w:r>
          </w:p>
        </w:tc>
      </w:tr>
      <w:t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45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艾灸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用艾条等为老年人提供驱寒等服务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15-30分钟</w:t>
            </w:r>
          </w:p>
        </w:tc>
      </w:tr>
      <w:t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46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刮痧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为老年人提供刮痧服务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15-30分钟</w:t>
            </w:r>
          </w:p>
        </w:tc>
      </w:tr>
      <w:tr>
        <w:tc>
          <w:tcPr>
            <w:tcW w:w="6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方正仿宋_GBK" w:eastAsia="方正仿宋_GBK" w:hAnsi="方正仿宋_GBK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方正仿宋_GBK" w:hAnsi="Times New Roman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47</w:t>
            </w:r>
          </w:p>
        </w:tc>
        <w:tc>
          <w:tcPr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拔罐</w:t>
            </w:r>
          </w:p>
        </w:tc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both"/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i w:val="0"/>
                <w:iCs w:val="0"/>
                <w:vanish w:val="0"/>
                <w:kern w:val="2"/>
                <w:sz w:val="28"/>
                <w:szCs w:val="28"/>
                <w:lang w:val="en-US" w:eastAsia="zh-CN"/>
              </w:rPr>
              <w:t>为老年人提供拔罐服务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keepLines w:val="0"/>
              <w:widowControl w:val="0"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spacing w:line="400" w:lineRule="exact"/>
              <w:ind w:left="0" w:right="0" w:firstLineChars="0" w:firstLine="0"/>
              <w:jc w:val="center"/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ascii="仿宋_GB2312" w:eastAsia="仿宋_GB2312" w:hAnsi="Times New Roman" w:hint="eastAsia"/>
                <w:b w:val="0"/>
                <w:bCs w:val="0"/>
                <w:vanish w:val="0"/>
                <w:kern w:val="2"/>
                <w:sz w:val="28"/>
                <w:szCs w:val="28"/>
                <w:lang w:val="en-US" w:eastAsia="zh-CN"/>
              </w:rPr>
              <w:t>15-30分钟</w:t>
            </w:r>
          </w:p>
        </w:tc>
      </w:tr>
    </w:tbl>
    <w:p>
      <w:pPr>
        <w:pStyle w:val="18"/>
        <w:spacing w:after="0" w:afterAutospacing="0" w:line="600" w:lineRule="exact"/>
        <w:ind w:left="0" w:firstLineChars="0" w:firstLine="0"/>
        <w:rPr>
          <w:rFonts w:ascii="Calibri" w:eastAsia="仿宋_GB2312" w:hAnsi="Calibri" w:hint="eastAsia"/>
          <w:vanish w:val="0"/>
          <w:kern w:val="2"/>
          <w:sz w:val="32"/>
          <w:szCs w:val="32"/>
        </w:rPr>
      </w:pPr>
      <w:r>
        <w:rPr>
          <w:rFonts w:ascii="仿宋_GB2312" w:eastAsia="仿宋_GB2312" w:hAnsi="Calibri" w:hint="eastAsia"/>
          <w:vanish w:val="0"/>
          <w:kern w:val="2"/>
          <w:sz w:val="32"/>
          <w:szCs w:val="32"/>
        </w:rPr>
        <w:t>注：服务内容详见养老服务补贴项目信息系统“民政通”相关模块，若更新，以系统显示内容为准。</w:t>
      </w:r>
    </w:p>
    <w:p>
      <w:pPr>
        <w:kinsoku/>
        <w:wordWrap/>
        <w:overflowPunct w:val="0"/>
        <w:topLinePunct w:val="0"/>
        <w:autoSpaceDE/>
        <w:autoSpaceDN/>
        <w:spacing w:line="600" w:lineRule="exact"/>
        <w:rPr>
          <w:rFonts w:ascii="Times New Roman" w:eastAsia="黑体" w:hAnsi="Times New Roman"/>
          <w:vanish w:val="0"/>
          <w:kern w:val="2"/>
          <w:sz w:val="32"/>
          <w:szCs w:val="32"/>
        </w:rPr>
      </w:pPr>
    </w:p>
    <w:p>
      <w:pPr>
        <w:kinsoku/>
        <w:wordWrap/>
        <w:overflowPunct w:val="0"/>
        <w:topLinePunct w:val="0"/>
        <w:autoSpaceDE/>
        <w:autoSpaceDN/>
        <w:spacing w:line="600" w:lineRule="exact"/>
        <w:ind w:firstLineChars="0" w:firstLine="0"/>
        <w:rPr>
          <w:rFonts w:ascii="Times New Roman" w:eastAsia="黑体" w:hAnsi="Times New Roman" w:hint="eastAsia"/>
          <w:vanish w:val="0"/>
          <w:kern w:val="2"/>
          <w:sz w:val="32"/>
          <w:szCs w:val="32"/>
        </w:rPr>
      </w:pPr>
    </w:p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仿宋_GB2312">
    <w:altName w:val="宋体"/>
    <w:panose1 w:val="00000000000000000000"/>
    <w:charset w:val="00"/>
    <w:family w:val="auto"/>
    <w:pitch w:val="variable"/>
  </w:font>
  <w:font w:name="方正小标宋_GBK">
    <w:panose1 w:val="00000000000000000000"/>
    <w:charset w:val="00"/>
    <w:family w:val="auto"/>
    <w:pitch w:val="variable"/>
  </w:font>
  <w:font w:name="方正仿宋_GBK">
    <w:panose1 w:val="00000000000000000000"/>
    <w:charset w:val="00"/>
    <w:family w:val="auto"/>
    <w:pitch w:val="variable"/>
  </w:font>
  <w:font w:name="Calibri">
    <w:panose1 w:val="00000000000000000000"/>
    <w:charset w:val="00"/>
    <w:family w:val="auto"/>
    <w:pitch w:val="variable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60"/>
  <w:drawingGridVerticalSpacing w:val="217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78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580" w:lineRule="exact"/>
      <w:ind w:left="0" w:right="0" w:firstLineChars="200" w:firstLine="200"/>
      <w:contextualSpacing w:val="0"/>
      <w:jc w:val="both"/>
      <w:textAlignment w:val="auto"/>
      <w:outlineLvl w:val="9"/>
    </w:pPr>
    <w:rPr>
      <w:rFonts w:ascii="Times New Roman" w:eastAsia="仿宋_GB2312" w:hAnsi="Times New Roman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仿宋_GB2312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仿宋_GB2312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character" w:default="1" w:styleId="10">
    <w:name w:val="Default Paragraph Font"/>
    <w:qFormat/>
  </w:style>
  <w:style w:type="paragraph" w:styleId="15">
    <w:name w:val="index 5"/>
    <w:qFormat/>
    <w:basedOn w:val="0"/>
    <w:autoRedefine/>
    <w:next w:val="0"/>
    <w:pPr>
      <w:ind w:left="1680"/>
    </w:pPr>
  </w:style>
  <w:style w:type="paragraph" w:styleId="18">
    <w:name w:val="index 8"/>
    <w:qFormat/>
    <w:basedOn w:val="0"/>
    <w:autoRedefine/>
    <w:next w:val="0"/>
    <w:pPr>
      <w:ind w:left="2940"/>
    </w:pPr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  <w:style w:type="paragraph" w:styleId="66">
    <w:name w:val="Body Text"/>
    <w:qFormat/>
    <w:basedOn w:val="0"/>
    <w:next w:val="0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 w:val="0"/>
      <w:spacing w:before="0" w:beforeAutospacing="0" w:after="0" w:afterAutospacing="0" w:line="579" w:lineRule="exact"/>
      <w:ind w:left="0" w:right="0" w:firstLineChars="200" w:firstLine="200"/>
      <w:contextualSpacing w:val="0"/>
      <w:jc w:val="both"/>
      <w:textAlignment w:val="auto"/>
      <w:outlineLvl w:val="9"/>
    </w:pPr>
    <w:rPr>
      <w:rFonts w:ascii="Times New Roman" w:eastAsia="仿宋_GB2312" w:hAnsi="Times New Roman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67">
    <w:name w:val="Body Text Indent"/>
    <w:qFormat/>
    <w:basedOn w:val="0"/>
    <w:pPr>
      <w:spacing w:after="120"/>
      <w:ind w:left="420"/>
    </w:pPr>
  </w:style>
  <w:style w:type="paragraph" w:styleId="78">
    <w:name w:val="Body Text First Indent 2"/>
    <w:qFormat/>
    <w:basedOn w:val="67"/>
    <w:next w:val="66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120" w:afterAutospacing="0" w:line="580" w:lineRule="exact"/>
      <w:ind w:leftChars="200" w:left="200" w:right="0" w:firstLineChars="200" w:firstLine="200"/>
      <w:contextualSpacing w:val="0"/>
      <w:jc w:val="both"/>
      <w:textAlignment w:val="auto"/>
      <w:outlineLvl w:val="9"/>
    </w:pPr>
    <w:rPr>
      <w:rFonts w:ascii="Calibri" w:eastAsia="仿宋_GB2312" w:cs="仿宋_GB2312" w:hAnsi="Calibri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73B42D33-AC68-4DF8-A8A1-42596F35162A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Yozo_Office9.0.5727.102ZH.HE25</Application>
  <Pages>7</Pages>
  <Words>0</Words>
  <Characters>2016</Characters>
  <Lines>0</Lines>
  <Paragraphs>8</Paragraphs>
  <CharactersWithSpaces>2689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2026-04-15T09:55:49Z</dcterms:created>
  <dcterms:modified xsi:type="dcterms:W3CDTF">2026-04-15T09:56:23Z</dcterms:modified>
</cp:coreProperties>
</file>