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5F6D0E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附件4</w:t>
      </w:r>
    </w:p>
    <w:p w14:paraId="7C2A516E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23D2721F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/>
          <w:b/>
          <w:bCs/>
          <w:sz w:val="44"/>
          <w:szCs w:val="44"/>
        </w:rPr>
        <w:t>赵县统计局</w:t>
      </w:r>
      <w:r>
        <w:rPr>
          <w:rFonts w:hint="eastAsia" w:ascii="宋体" w:hAnsi="宋体" w:cs="宋体"/>
          <w:b/>
          <w:bCs/>
          <w:sz w:val="44"/>
          <w:szCs w:val="44"/>
        </w:rPr>
        <w:t>部门</w:t>
      </w:r>
    </w:p>
    <w:p w14:paraId="4AEBC248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63308856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34AA8C34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贯彻落实县委、县政府《全面落实预算绩效管理的实施意见》（[2019]77）文件精神，遵循“科学性、规范性、客观性和公正性”的原则，对</w:t>
      </w:r>
      <w:r>
        <w:rPr>
          <w:rFonts w:ascii="仿宋" w:hAnsi="仿宋" w:eastAsia="仿宋"/>
          <w:sz w:val="32"/>
          <w:szCs w:val="32"/>
        </w:rPr>
        <w:t>赵县统计局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评价报告。</w:t>
      </w:r>
    </w:p>
    <w:p w14:paraId="18F7C8F0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60F878F3">
      <w:pPr>
        <w:numPr>
          <w:ilvl w:val="0"/>
          <w:numId w:val="1"/>
        </w:numPr>
        <w:adjustRightInd w:val="0"/>
        <w:snapToGrid w:val="0"/>
        <w:spacing w:line="560" w:lineRule="exact"/>
        <w:ind w:left="0"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部门概况</w:t>
      </w:r>
    </w:p>
    <w:p w14:paraId="333C4709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</w:rPr>
        <w:t>一）承担组织领导和协调管理全县统计工作，确保统计数据真实、准确、及时的责任。</w:t>
      </w:r>
    </w:p>
    <w:p w14:paraId="4802854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（二）拟订统计工作方面的地方性法规、政府规章草案，制定全县统计改革、统计现代化建设规划、统计调查计划和地方统计调查标准、统计调查制度，监督检查统计法律、法规实施情况，指导全县统计工作。</w:t>
      </w:r>
    </w:p>
    <w:p w14:paraId="544068DA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(三)贯彻执行国家国民经济核算制度，组织实施全县国民经济核算制度和投入产出调查，核算全县生产总值，整理、测算和提供国民经济核算资料，监督管理全县国民经济核算工作。</w:t>
      </w:r>
    </w:p>
    <w:p w14:paraId="6E56AF22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(四)组织完成国家、省、市部署的国情国力普查及重要调查任务；研究提出重大县情县力普查和抽样调查计划并组织实施，汇总、整理和提供有关县情市力方面的统计数据。</w:t>
      </w:r>
    </w:p>
    <w:p w14:paraId="6D839907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(五)组织实施农林牧渔业、农业产值、农产品产量、农业产业化、工业、能源、社会、人口、工资、科技、消费、城镇劳动力、城镇就业、建筑业、固定资产投资、房地产开发、高新技术产业、县工业园区主要经济指标、批发和零售业、住宿和餐饮业、运输邮电业、其他服务业、服务业个体户、对外经济和旅游、民营经济、县社会经济基本情况、乡村社会经济、资源环境、境外来中国大陆工作专家、服务业财务、农村住户、经济社会重点问题等统计调查，收集、汇总、整理和提供统计数据。</w:t>
      </w:r>
    </w:p>
    <w:p w14:paraId="40BE116F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（六）组织实施社会发展水平、县域经济发展、节能降耗、城镇化发展、全面小康及农村小康建设进程、农村贫困、资源循环利用、妇女儿童等统计监测，收集、整理和提供统计数据。</w:t>
      </w:r>
    </w:p>
    <w:p w14:paraId="4A36C5A8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（七）综合整理和提供财政、金融、个体、私营以及混合经济税收、出口、地质勘查、文化教育、卫生、社会保障、公用事业、房屋、对外贸易、对内经济技术合作及引进内资等基本统计数据。</w:t>
      </w:r>
    </w:p>
    <w:p w14:paraId="734AB39A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（八）组织各乡镇、各部门的经济、社会、科技统计调查，统一核定、管理、公布全县基本统计资料，定期发布全县国民经济和社会发展情况的统计信息，组织建立统计信息共享制度和发布制度。</w:t>
      </w:r>
    </w:p>
    <w:p w14:paraId="19BCF1A9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（九）对国民经济、社会发展、科技进步等情况进行统计分析、统计预测和统计监督，向县委、县政府及有关部门提供统计信息和咨询建议。</w:t>
      </w:r>
    </w:p>
    <w:p w14:paraId="43266897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）组织管理县统计调查项目、调查计划、调查方案；组织管理全县统计登记工作；指导专业统计基础工作、统计基层业务和规范化建设；组织建立统计信息管理制度，建立健全统计数据质量审核、监控和评估制度，开展对重要统计数据的审核、监控和评估；依法监督管理涉外调查活动。</w:t>
      </w:r>
    </w:p>
    <w:p w14:paraId="34E59190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（十一)贯彻执行国家、省、市统计信息库和网络的基本标准和运行规则；管理全县统计信息自动化系统和统计数据库体系；管理全县统计数据库网络；指导全县统计信息化系统建设。</w:t>
      </w:r>
    </w:p>
    <w:p w14:paraId="26F25323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（十二）指导全县统计专业技术队伍建设，配合省、市统计局组织管理统计从业资格认定和持证上岗工作，协助有关部门组织管理统计专业技术资格考试、职务评聘工作。</w:t>
      </w:r>
    </w:p>
    <w:p w14:paraId="6EB10CAD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（十三）承办县政府交办的其他事项。</w:t>
      </w:r>
    </w:p>
    <w:p w14:paraId="5BE78C9C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 w14:paraId="15CDF791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按照预算管理有关规定，目前我省部门预算的编制实行综合预算管理，即全部收入和支出都反映在预算中。赵县统计局机关及所属事业单位的收支包含在部门预算中。</w:t>
      </w:r>
    </w:p>
    <w:p w14:paraId="10316048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1、收入说明</w:t>
      </w:r>
    </w:p>
    <w:p w14:paraId="2E288662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</w:t>
      </w:r>
      <w:r>
        <w:rPr>
          <w:rFonts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年预算收入</w:t>
      </w:r>
      <w:r>
        <w:rPr>
          <w:rFonts w:ascii="仿宋" w:hAnsi="仿宋" w:eastAsia="仿宋"/>
          <w:sz w:val="32"/>
          <w:szCs w:val="32"/>
          <w:lang w:val="en-US" w:eastAsia="zh-CN"/>
        </w:rPr>
        <w:t>463.58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万元，其中：一般公共预算收入</w:t>
      </w:r>
      <w:r>
        <w:rPr>
          <w:rFonts w:ascii="仿宋" w:hAnsi="仿宋" w:eastAsia="仿宋"/>
          <w:sz w:val="32"/>
          <w:szCs w:val="32"/>
          <w:lang w:val="en-US" w:eastAsia="zh-CN"/>
        </w:rPr>
        <w:t>463.58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万元，基金预算收入0万元，财政专户核拨收入0万元，其他来源收入0万元。</w:t>
      </w:r>
    </w:p>
    <w:p w14:paraId="2B43FE1F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2、支出说明</w:t>
      </w:r>
    </w:p>
    <w:p w14:paraId="6347BF4D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</w:t>
      </w:r>
      <w:r>
        <w:rPr>
          <w:rFonts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年支出预算</w:t>
      </w:r>
      <w:r>
        <w:rPr>
          <w:rFonts w:ascii="仿宋" w:hAnsi="仿宋" w:eastAsia="仿宋"/>
          <w:sz w:val="32"/>
          <w:szCs w:val="32"/>
          <w:lang w:val="en-US" w:eastAsia="zh-CN"/>
        </w:rPr>
        <w:t>463.58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万元，其中基本支出</w:t>
      </w:r>
      <w:r>
        <w:rPr>
          <w:rFonts w:ascii="仿宋" w:hAnsi="仿宋" w:eastAsia="仿宋"/>
          <w:sz w:val="32"/>
          <w:szCs w:val="32"/>
          <w:lang w:val="en-US" w:eastAsia="zh-CN"/>
        </w:rPr>
        <w:t>357.48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万元，包括人员经费</w:t>
      </w:r>
      <w:r>
        <w:rPr>
          <w:rFonts w:ascii="仿宋" w:hAnsi="仿宋" w:eastAsia="仿宋"/>
          <w:sz w:val="32"/>
          <w:szCs w:val="32"/>
          <w:lang w:val="en-US" w:eastAsia="zh-CN"/>
        </w:rPr>
        <w:t>323.08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万元和日常公用经费</w:t>
      </w:r>
      <w:r>
        <w:rPr>
          <w:rFonts w:ascii="仿宋" w:hAnsi="仿宋" w:eastAsia="仿宋"/>
          <w:sz w:val="32"/>
          <w:szCs w:val="32"/>
          <w:lang w:val="en-US" w:eastAsia="zh-CN"/>
        </w:rPr>
        <w:t>34.4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万元；项目支出</w:t>
      </w:r>
      <w:r>
        <w:rPr>
          <w:rFonts w:ascii="仿宋" w:hAnsi="仿宋" w:eastAsia="仿宋"/>
          <w:sz w:val="32"/>
          <w:szCs w:val="32"/>
          <w:lang w:val="en-US" w:eastAsia="zh-CN"/>
        </w:rPr>
        <w:t>106.1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万元，主要为</w:t>
      </w:r>
      <w:r>
        <w:rPr>
          <w:rFonts w:ascii="仿宋" w:hAnsi="仿宋" w:eastAsia="仿宋"/>
          <w:sz w:val="32"/>
          <w:szCs w:val="32"/>
          <w:lang w:val="en-US" w:eastAsia="zh-CN"/>
        </w:rPr>
        <w:t>统计执法检查，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统计常规调查、基层农业统计调查补贴等；其他支出0万元。</w:t>
      </w:r>
    </w:p>
    <w:p w14:paraId="197A1E3E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3、比上年增减情况</w:t>
      </w:r>
    </w:p>
    <w:p w14:paraId="6C3E4D30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</w:t>
      </w:r>
      <w:r>
        <w:rPr>
          <w:rFonts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年预算收支安排</w:t>
      </w:r>
      <w:r>
        <w:rPr>
          <w:rFonts w:ascii="仿宋" w:hAnsi="仿宋" w:eastAsia="仿宋"/>
          <w:sz w:val="32"/>
          <w:szCs w:val="32"/>
          <w:lang w:val="en-US" w:eastAsia="zh-CN"/>
        </w:rPr>
        <w:t>463.58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万元，较202</w:t>
      </w:r>
      <w:r>
        <w:rPr>
          <w:rFonts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年预算</w:t>
      </w:r>
      <w:r>
        <w:rPr>
          <w:rFonts w:ascii="仿宋" w:hAnsi="仿宋" w:eastAsia="仿宋"/>
          <w:sz w:val="32"/>
          <w:szCs w:val="32"/>
          <w:lang w:val="en-US" w:eastAsia="zh-CN"/>
        </w:rPr>
        <w:t>减少150.456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万元，其中：基本支出</w:t>
      </w:r>
      <w:r>
        <w:rPr>
          <w:rFonts w:ascii="仿宋" w:hAnsi="仿宋" w:eastAsia="仿宋"/>
          <w:sz w:val="32"/>
          <w:szCs w:val="32"/>
          <w:lang w:val="en-US" w:eastAsia="zh-CN"/>
        </w:rPr>
        <w:t>减少50.91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万元，主要为</w:t>
      </w:r>
      <w:r>
        <w:rPr>
          <w:rFonts w:ascii="仿宋" w:hAnsi="仿宋" w:eastAsia="仿宋"/>
          <w:sz w:val="32"/>
          <w:szCs w:val="32"/>
          <w:lang w:val="en-US" w:eastAsia="zh-CN"/>
        </w:rPr>
        <w:t>减少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人员经费支出；项目支出</w:t>
      </w:r>
      <w:r>
        <w:rPr>
          <w:rFonts w:ascii="仿宋" w:hAnsi="仿宋" w:eastAsia="仿宋"/>
          <w:sz w:val="32"/>
          <w:szCs w:val="32"/>
          <w:lang w:val="en-US" w:eastAsia="zh-CN"/>
        </w:rPr>
        <w:t>减少99.54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万元，主要为</w:t>
      </w:r>
      <w:r>
        <w:rPr>
          <w:rFonts w:ascii="仿宋" w:hAnsi="仿宋" w:eastAsia="仿宋"/>
          <w:sz w:val="32"/>
          <w:szCs w:val="32"/>
          <w:lang w:val="en-US" w:eastAsia="zh-CN"/>
        </w:rPr>
        <w:t>没有重大项目支出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；其他支出0万元。</w:t>
      </w:r>
    </w:p>
    <w:p w14:paraId="15181163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</w:p>
    <w:p w14:paraId="1958B0E9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75015118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（一）总体绩效目标</w:t>
      </w:r>
    </w:p>
    <w:p w14:paraId="45AC1FA3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年统计局发展规划目标</w:t>
      </w:r>
    </w:p>
    <w:p w14:paraId="59AAAA40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县委、县政府的正确领导下，不断加强政治理论和业务学习，全面规范提升统计业务，在全局人员严重不足，工作任务繁重的情况下，较好地履行了统计的监测、咨询、服务职能，发挥了统计的监测指导和服务作用。</w:t>
      </w:r>
    </w:p>
    <w:p w14:paraId="7C685E48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认真做</w:t>
      </w:r>
      <w:r>
        <w:rPr>
          <w:rFonts w:hint="eastAsia" w:ascii="仿宋" w:hAnsi="仿宋" w:eastAsia="仿宋"/>
          <w:sz w:val="32"/>
          <w:szCs w:val="32"/>
          <w:lang w:eastAsia="zh-CN"/>
        </w:rPr>
        <w:t>好统计常规调查工作，</w:t>
      </w:r>
      <w:r>
        <w:rPr>
          <w:rFonts w:hint="eastAsia" w:ascii="仿宋" w:hAnsi="仿宋" w:eastAsia="仿宋"/>
          <w:sz w:val="32"/>
          <w:szCs w:val="32"/>
        </w:rPr>
        <w:t>后期普查数据审核、检查、验收、汇总和数据发布与资料开发等工作，掌握我县人口基本情况，掌握人口流动、农业生产、新型农业经营主体、农业规模化和产业化等新情况，为科学制定“三农”政策、促进我县实现农业现代化、全面建成小康社会提供重要依据。</w:t>
      </w:r>
    </w:p>
    <w:p w14:paraId="4F8D4973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76413231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</w:t>
      </w:r>
    </w:p>
    <w:p w14:paraId="2EB1FA9B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年统计局部门职责分类绩效目标情况</w:t>
      </w:r>
    </w:p>
    <w:p w14:paraId="28604836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1、主要经济指标完成较好。</w:t>
      </w:r>
    </w:p>
    <w:p w14:paraId="4715048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2、做好普查数据审核、检查、验收、汇总和数据发布与资料开发等工作。</w:t>
      </w:r>
    </w:p>
    <w:p w14:paraId="1A3D7CF9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3、不断提高统计服务领导决策，服务社会公众水平。紧紧围绕增比进位工作及时为县委、县政府提供统计服务。</w:t>
      </w:r>
    </w:p>
    <w:p w14:paraId="136A384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4、各项调查任务有序开展。高质量完成了各项调查任务：全面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建成</w:t>
      </w:r>
      <w:r>
        <w:rPr>
          <w:rFonts w:hint="eastAsia" w:ascii="仿宋" w:hAnsi="仿宋" w:eastAsia="仿宋"/>
          <w:sz w:val="32"/>
          <w:szCs w:val="32"/>
        </w:rPr>
        <w:t>小康社会统计监测、小康满意度调查、小微企业调查工作、畜禽监测、企业创新调查工作等。</w:t>
      </w:r>
    </w:p>
    <w:p w14:paraId="42FD84E5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（三）工作保障措施</w:t>
      </w:r>
    </w:p>
    <w:p w14:paraId="36FE4C1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1、加强领导，落实责任。</w:t>
      </w:r>
    </w:p>
    <w:p w14:paraId="31C1AE20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成立由局长任组长的实现本年度发展规划目标保障工作领导小组。建立健全岗位责任制和目标任务责任制，推动工作落实。</w:t>
      </w:r>
    </w:p>
    <w:p w14:paraId="66112389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2、明确任务，统筹推进。</w:t>
      </w:r>
    </w:p>
    <w:p w14:paraId="760F0FDF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要高度重视，强力推进，要把项目实施工作提升到全局性、战略性的高度，在遵循财务制度的基础上，进一步组织实施到位。</w:t>
      </w:r>
    </w:p>
    <w:p w14:paraId="18206B63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3、多方筹资，保障经费。</w:t>
      </w:r>
    </w:p>
    <w:p w14:paraId="2D8D5603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4、强化督查，狠抓落实。</w:t>
      </w:r>
    </w:p>
    <w:p w14:paraId="1369B351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建立健全检查考核制度。办公室要组织联合督查组，加强对项目进展情况的跟踪督查和调度通报，对任务完成不好的，要予以通报，促进工作落实到位。责任科室也要建立长效监督检查机制，确保本年度发展规划目标顺利实现。</w:t>
      </w:r>
    </w:p>
    <w:p w14:paraId="31D922DD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 w14:paraId="28F1D5B0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36BE330D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4702B45D">
      <w:pPr>
        <w:spacing w:beforeAutospacing="0" w:afterAutospacing="0"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前期准备，包括制定评价实施方案、收集整理基础资料等，我单位接到开展绩效自评通知后，明确绩效评价工作要求及完成时限。与专项资金管理人员进行沟通，了解项目情况，收集绩效评价相关资料，查阅被评价处室提供的绩效评价基础资料、辅证材料、财务资料等，初步拟定被评价项目绩效指标。</w:t>
      </w:r>
    </w:p>
    <w:p w14:paraId="74F77F52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315A42D1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单位通过对项目研究分析、了解询问等方式来立项、决策、实施、管理与项目财务核算等相关资料；根据评价体系指标的要求，从不同来源收集的资料中选取与验证，包括定型的文字描述与定量的统计数据，确保资料来源的客观性、完整性和可靠性。</w:t>
      </w:r>
    </w:p>
    <w:p w14:paraId="04032F51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1F2D483A">
      <w:pPr>
        <w:numPr>
          <w:ilvl w:val="0"/>
          <w:numId w:val="3"/>
        </w:numPr>
        <w:spacing w:line="560" w:lineRule="exact"/>
        <w:ind w:left="0"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61FAB989">
      <w:pPr>
        <w:spacing w:beforeAutospacing="0" w:afterAutospacing="0"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根据预算绩效管理要求，我单位组织对202</w:t>
      </w:r>
      <w:r>
        <w:rPr>
          <w:rFonts w:ascii="仿宋" w:hAnsi="仿宋" w:eastAsia="仿宋"/>
          <w:sz w:val="32"/>
          <w:szCs w:val="32"/>
        </w:rPr>
        <w:t>5</w:t>
      </w:r>
      <w:r>
        <w:rPr>
          <w:rFonts w:hint="eastAsia" w:ascii="仿宋" w:hAnsi="仿宋" w:eastAsia="仿宋"/>
          <w:sz w:val="32"/>
          <w:szCs w:val="32"/>
        </w:rPr>
        <w:t>年度一般公共预算项目支出全面开展绩效自评。从评价情况来看，我单位根据职能职责和上级要求，紧紧围绕目标任务，扎实有序推进各项工作，较好地完成了全年各项工作任务。</w:t>
      </w:r>
    </w:p>
    <w:p w14:paraId="64A82AA1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</w:p>
    <w:p w14:paraId="20D848A8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386723BD">
      <w:pPr>
        <w:spacing w:beforeAutospacing="0" w:afterAutospacing="0"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我单位共有</w:t>
      </w:r>
      <w:r>
        <w:rPr>
          <w:rFonts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个项目绩效自评，具体完成情况如下：</w:t>
      </w:r>
    </w:p>
    <w:p w14:paraId="242954DB">
      <w:pPr>
        <w:numPr>
          <w:ilvl w:val="0"/>
          <w:numId w:val="4"/>
        </w:numPr>
        <w:spacing w:beforeAutospacing="0" w:afterAutospacing="0" w:line="560" w:lineRule="exact"/>
        <w:ind w:left="0"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产出指标完成情况。产出指标包括数量指标、质量指标、时效指标和成本指标，所有指标均已完成年初目标值，完成绩效目标。</w:t>
      </w:r>
    </w:p>
    <w:p w14:paraId="36884495">
      <w:pPr>
        <w:numPr>
          <w:ilvl w:val="0"/>
          <w:numId w:val="4"/>
        </w:numPr>
        <w:spacing w:beforeAutospacing="0" w:afterAutospacing="0" w:line="560" w:lineRule="exact"/>
        <w:ind w:left="0"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效益指标完成情况。效益指标包括经济效益指标、社会效益指标、生态效益指标和可持续影响指标，所有指标均已完成年初目标值，完成绩效目标。</w:t>
      </w:r>
    </w:p>
    <w:p w14:paraId="5FB912F7">
      <w:pPr>
        <w:spacing w:beforeAutospacing="0" w:afterAutospacing="0"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满意度指标完成情况。满意度指标中服务对象满意度指标均达90%以上，完成绩效目标。</w:t>
      </w:r>
    </w:p>
    <w:p w14:paraId="75D789B7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4199DADD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 w14:paraId="061ADABC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2068A28A">
      <w:pPr>
        <w:numPr>
          <w:ilvl w:val="0"/>
          <w:numId w:val="5"/>
        </w:numPr>
        <w:spacing w:beforeAutospacing="0" w:afterAutospacing="0" w:line="560" w:lineRule="exact"/>
        <w:ind w:left="0" w:leftChars="0"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存在的主要问题</w:t>
      </w:r>
    </w:p>
    <w:p w14:paraId="3B021BA7">
      <w:pPr>
        <w:spacing w:beforeAutospacing="0" w:afterAutospacing="0" w:line="560" w:lineRule="exact"/>
        <w:ind w:left="0" w:leftChars="0"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通过对项目支出和部门整体指出进行绩效自评，发现我局项目预算及自评工作不够精准，统筹协调不够，不能及时解决项目实施过程中存在的问题，难以确保项目实现预期目标，各项目科室对绩效评价工作的重要性认识有待进一步提高。</w:t>
      </w:r>
    </w:p>
    <w:p w14:paraId="46A5283A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 w14:paraId="2BF68A10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针对绩效自评工作中发现的问题和不足，对绩效有偏差的项目，我局将细化预算编制工作，精准编制项目支出预算，认真做好预算的编制。进一步加强单位内部机构各科室的预算管理意识，严格按照预算编制的相关制度和要求进行预算编制。同时，本部门将自评结果作为下一年度预算安排和编制的依据，不断提高预算制定的科学性和有效性。</w:t>
      </w:r>
    </w:p>
    <w:p w14:paraId="1022D4E8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</w:p>
    <w:p w14:paraId="08899FB4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六、评价工作组人员名单及签字（姓名、工作单位）</w:t>
      </w:r>
    </w:p>
    <w:tbl>
      <w:tblPr>
        <w:tblStyle w:val="7"/>
        <w:tblpPr w:leftFromText="180" w:rightFromText="180" w:vertAnchor="text" w:horzAnchor="page" w:tblpX="2587" w:tblpY="314"/>
        <w:tblOverlap w:val="never"/>
        <w:tblW w:w="710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58"/>
        <w:gridCol w:w="2019"/>
        <w:gridCol w:w="1725"/>
        <w:gridCol w:w="1905"/>
      </w:tblGrid>
      <w:tr w14:paraId="7A5DA6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1458" w:type="dxa"/>
          </w:tcPr>
          <w:p w14:paraId="28F83638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2019" w:type="dxa"/>
          </w:tcPr>
          <w:p w14:paraId="15F16A91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1725" w:type="dxa"/>
          </w:tcPr>
          <w:p w14:paraId="1B74337E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  <w:tc>
          <w:tcPr>
            <w:tcW w:w="1905" w:type="dxa"/>
          </w:tcPr>
          <w:p w14:paraId="5E8F8663">
            <w:pPr>
              <w:ind w:firstLine="492"/>
              <w:rPr>
                <w:rFonts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签字</w:t>
            </w:r>
          </w:p>
        </w:tc>
      </w:tr>
      <w:tr w14:paraId="7BAC82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58" w:type="dxa"/>
          </w:tcPr>
          <w:p w14:paraId="38D1D6E3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李杨</w:t>
            </w:r>
          </w:p>
        </w:tc>
        <w:tc>
          <w:tcPr>
            <w:tcW w:w="2019" w:type="dxa"/>
            <w:tcBorders>
              <w:left w:val="single" w:color="auto" w:sz="4" w:space="0"/>
            </w:tcBorders>
          </w:tcPr>
          <w:p w14:paraId="1BB697C6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赵县统计局</w:t>
            </w:r>
          </w:p>
        </w:tc>
        <w:tc>
          <w:tcPr>
            <w:tcW w:w="1725" w:type="dxa"/>
            <w:tcBorders>
              <w:left w:val="single" w:color="auto" w:sz="4" w:space="0"/>
            </w:tcBorders>
          </w:tcPr>
          <w:p w14:paraId="07470A7E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局长</w:t>
            </w:r>
          </w:p>
        </w:tc>
        <w:tc>
          <w:tcPr>
            <w:tcW w:w="1905" w:type="dxa"/>
            <w:tcBorders>
              <w:left w:val="single" w:color="auto" w:sz="4" w:space="0"/>
            </w:tcBorders>
          </w:tcPr>
          <w:p w14:paraId="23E64F01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0265A9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58" w:type="dxa"/>
          </w:tcPr>
          <w:p w14:paraId="1C8122D4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张少波</w:t>
            </w:r>
          </w:p>
        </w:tc>
        <w:tc>
          <w:tcPr>
            <w:tcW w:w="2019" w:type="dxa"/>
            <w:tcBorders>
              <w:left w:val="single" w:color="auto" w:sz="4" w:space="0"/>
            </w:tcBorders>
          </w:tcPr>
          <w:p w14:paraId="12A47E92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赵县统计局</w:t>
            </w:r>
          </w:p>
        </w:tc>
        <w:tc>
          <w:tcPr>
            <w:tcW w:w="1725" w:type="dxa"/>
            <w:tcBorders>
              <w:left w:val="single" w:color="auto" w:sz="4" w:space="0"/>
            </w:tcBorders>
          </w:tcPr>
          <w:p w14:paraId="770FD852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财务科长</w:t>
            </w:r>
          </w:p>
        </w:tc>
        <w:tc>
          <w:tcPr>
            <w:tcW w:w="1905" w:type="dxa"/>
            <w:tcBorders>
              <w:left w:val="single" w:color="auto" w:sz="4" w:space="0"/>
            </w:tcBorders>
          </w:tcPr>
          <w:p w14:paraId="587E0AEA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5CDFF3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58" w:type="dxa"/>
          </w:tcPr>
          <w:p w14:paraId="3F0B158A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郭良玉</w:t>
            </w:r>
          </w:p>
        </w:tc>
        <w:tc>
          <w:tcPr>
            <w:tcW w:w="2019" w:type="dxa"/>
            <w:tcBorders>
              <w:left w:val="single" w:color="auto" w:sz="4" w:space="0"/>
            </w:tcBorders>
          </w:tcPr>
          <w:p w14:paraId="191F2B0A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赵县统计局</w:t>
            </w:r>
          </w:p>
        </w:tc>
        <w:tc>
          <w:tcPr>
            <w:tcW w:w="1725" w:type="dxa"/>
            <w:tcBorders>
              <w:left w:val="single" w:color="auto" w:sz="4" w:space="0"/>
            </w:tcBorders>
          </w:tcPr>
          <w:p w14:paraId="7AF7987E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科员</w:t>
            </w:r>
          </w:p>
        </w:tc>
        <w:tc>
          <w:tcPr>
            <w:tcW w:w="1905" w:type="dxa"/>
            <w:tcBorders>
              <w:left w:val="single" w:color="auto" w:sz="4" w:space="0"/>
            </w:tcBorders>
          </w:tcPr>
          <w:p w14:paraId="7F665418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144735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58" w:type="dxa"/>
          </w:tcPr>
          <w:p w14:paraId="4C114942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段茜</w:t>
            </w:r>
          </w:p>
        </w:tc>
        <w:tc>
          <w:tcPr>
            <w:tcW w:w="2019" w:type="dxa"/>
            <w:tcBorders>
              <w:left w:val="single" w:color="auto" w:sz="4" w:space="0"/>
            </w:tcBorders>
          </w:tcPr>
          <w:p w14:paraId="13ADF76C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赵县统计局</w:t>
            </w:r>
          </w:p>
        </w:tc>
        <w:tc>
          <w:tcPr>
            <w:tcW w:w="1725" w:type="dxa"/>
            <w:tcBorders>
              <w:left w:val="single" w:color="auto" w:sz="4" w:space="0"/>
            </w:tcBorders>
          </w:tcPr>
          <w:p w14:paraId="5E5AD687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科员</w:t>
            </w:r>
          </w:p>
        </w:tc>
        <w:tc>
          <w:tcPr>
            <w:tcW w:w="1905" w:type="dxa"/>
            <w:tcBorders>
              <w:left w:val="single" w:color="auto" w:sz="4" w:space="0"/>
            </w:tcBorders>
          </w:tcPr>
          <w:p w14:paraId="48A3C1E8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 w14:paraId="7DF60C6B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B98DE2">
    <w:pPr>
      <w:pStyle w:val="5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9550" cy="162560"/>
              <wp:effectExtent l="0" t="0" r="0" b="0"/>
              <wp:wrapNone/>
              <wp:docPr id="4097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9531" cy="162780"/>
                      </a:xfrm>
                      <a:prstGeom prst="rect">
                        <a:avLst/>
                      </a:prstGeom>
                      <a:noFill/>
                      <a:ln w="9525" cap="flat" cmpd="sng">
                        <a:noFill/>
                        <a:prstDash val="solid"/>
                        <a:miter/>
                      </a:ln>
                    </wps:spPr>
                    <wps:txbx>
                      <w:txbxContent>
                        <w:p w14:paraId="711EA5D9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- 2 -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8pt;width:16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C1qUiZ0QAAAAMBAAAPAAAAAAAAAAEAIAAAACIAAABkcnMvZG93bnJldi54bWxQ&#10;SwECFAAUAAAACACHTuJAWUAUEv4BAAD7AwAADgAAAAAAAAABACAAAAAgAQAAZHJzL2Uyb0RvYy54&#10;bWxQSwUGAAAAAAYABgBZAQAAkAUAAAAA&#10;">
              <v:fill on="f" focussize="0,0"/>
              <v:stroke on="f" joinstyle="miter"/>
              <v:imagedata o:title=""/>
              <o:lock v:ext="edit" aspectratio="f"/>
              <v:textbox inset="0mm,0mm,0mm,0mm" style="mso-fit-shape-to-text:t;">
                <w:txbxContent>
                  <w:p w14:paraId="711EA5D9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- 2 -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10DBB1E0"/>
    <w:multiLevelType w:val="singleLevel"/>
    <w:tmpl w:val="10DBB1E0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57F618A2"/>
    <w:multiLevelType w:val="multilevel"/>
    <w:tmpl w:val="57F618A2"/>
    <w:lvl w:ilvl="0" w:tentative="0">
      <w:start w:val="1"/>
      <w:numFmt w:val="chineseCountingThousand"/>
      <w:lvlText w:val="（%1）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5E19EAAC"/>
    <w:multiLevelType w:val="multilevel"/>
    <w:tmpl w:val="5E19EAAC"/>
    <w:lvl w:ilvl="0" w:tentative="0">
      <w:start w:val="1"/>
      <w:numFmt w:val="chineseCountingThousand"/>
      <w:lvlText w:val="（%1）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2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useAltKinsokuLineBreakRules/>
    <w:doNotSuppressIndentation/>
    <w:autofitToFirstFixedWidthCell/>
    <w:splitPgBreakAndParaMark/>
    <w:doNotVertAlignCellWithSp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0000000"/>
    <w:rsid w:val="431D52B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customStyle="1" w:styleId="9">
    <w:name w:val="heading 1 Char"/>
    <w:basedOn w:val="8"/>
    <w:link w:val="2"/>
    <w:uiPriority w:val="0"/>
    <w:rPr>
      <w:rFonts w:ascii="Calibri" w:hAnsi="Calibri" w:eastAsia="宋体" w:cs="黑体"/>
      <w:b/>
      <w:bCs/>
      <w:kern w:val="44"/>
      <w:sz w:val="44"/>
      <w:szCs w:val="44"/>
      <w:lang w:val="en-US" w:eastAsia="zh-CN" w:bidi="ar-SA"/>
    </w:rPr>
  </w:style>
  <w:style w:type="character" w:customStyle="1" w:styleId="10">
    <w:name w:val="heading 2 Char"/>
    <w:basedOn w:val="8"/>
    <w:link w:val="3"/>
    <w:uiPriority w:val="0"/>
    <w:rPr>
      <w:rFonts w:ascii="Times New Roman" w:hAnsi="Times New Roman" w:eastAsia="黑体" w:cs="黑体"/>
      <w:b/>
      <w:bCs/>
      <w:kern w:val="2"/>
      <w:sz w:val="32"/>
      <w:szCs w:val="32"/>
      <w:lang w:val="en-US" w:eastAsia="zh-CN" w:bidi="ar-SA"/>
    </w:rPr>
  </w:style>
  <w:style w:type="character" w:customStyle="1" w:styleId="11">
    <w:name w:val="heading 3 Char"/>
    <w:basedOn w:val="8"/>
    <w:link w:val="4"/>
    <w:qFormat/>
    <w:uiPriority w:val="0"/>
    <w:rPr>
      <w:rFonts w:ascii="Calibri" w:hAnsi="Calibri" w:eastAsia="宋体" w:cs="黑体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C406EF0-00CD-4FB9-A1F8-69E1D1A039B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7</Pages>
  <Words>3380</Words>
  <Characters>3475</Characters>
  <Lines>0</Lines>
  <Paragraphs>76</Paragraphs>
  <TotalTime>0</TotalTime>
  <ScaleCrop>false</ScaleCrop>
  <LinksUpToDate>false</LinksUpToDate>
  <CharactersWithSpaces>3492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13323011735</cp:lastModifiedBy>
  <cp:lastPrinted>2024-03-06T07:40:00Z</cp:lastPrinted>
  <dcterms:modified xsi:type="dcterms:W3CDTF">2026-04-14T06:42:37Z</dcterms:modified>
  <dc:title>附件3：</dc:title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eyJoZGlkIjoiZjBlMjVmNDExMTMxNWNhZGNjZTJiODI2NDZkZWI3YTkiLCJ1c2VySWQiOiIxNTUwMjQwMDk2In0=</vt:lpwstr>
  </property>
</Properties>
</file>