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133869">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1A3AEE04">
      <w:pPr>
        <w:spacing w:line="560" w:lineRule="exact"/>
        <w:jc w:val="center"/>
        <w:rPr>
          <w:rFonts w:ascii="宋体" w:hAnsi="宋体" w:cs="宋体"/>
          <w:b/>
          <w:bCs/>
          <w:sz w:val="44"/>
          <w:szCs w:val="44"/>
        </w:rPr>
      </w:pPr>
    </w:p>
    <w:p w14:paraId="52B3AB53">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中国共产党赵县委员会社会工作部</w:t>
      </w:r>
    </w:p>
    <w:p w14:paraId="45DDCB68">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172194E3">
      <w:pPr>
        <w:spacing w:line="560" w:lineRule="exact"/>
        <w:jc w:val="center"/>
        <w:rPr>
          <w:rFonts w:ascii="华文楷体" w:eastAsia="华文楷体"/>
          <w:sz w:val="32"/>
          <w:szCs w:val="32"/>
        </w:rPr>
      </w:pPr>
    </w:p>
    <w:p w14:paraId="3281459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w:t>
      </w:r>
      <w:r>
        <w:rPr>
          <w:rFonts w:hint="eastAsia" w:ascii="仿宋" w:hAnsi="仿宋" w:eastAsia="仿宋"/>
          <w:sz w:val="32"/>
          <w:szCs w:val="32"/>
          <w:lang w:val="en-US" w:eastAsia="zh-CN"/>
        </w:rPr>
        <w:t>县</w:t>
      </w:r>
      <w:r>
        <w:rPr>
          <w:rFonts w:hint="eastAsia" w:ascii="仿宋" w:hAnsi="仿宋" w:eastAsia="仿宋"/>
          <w:sz w:val="32"/>
          <w:szCs w:val="32"/>
        </w:rPr>
        <w:t>政府《全面落实预算绩效管理的实施意见》（[2019]77）文件精神，遵循“科学性、规范性、客观性和公正性”的原则，对</w:t>
      </w:r>
      <w:r>
        <w:rPr>
          <w:rFonts w:hint="eastAsia" w:ascii="仿宋" w:hAnsi="仿宋" w:eastAsia="仿宋"/>
          <w:sz w:val="32"/>
          <w:szCs w:val="32"/>
          <w:lang w:val="en-US" w:eastAsia="zh-CN"/>
        </w:rPr>
        <w:t>中国共产党赵县委员会社会工作部部门</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31A29FA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12F70D5">
      <w:pPr>
        <w:spacing w:before="10" w:after="10"/>
        <w:ind w:firstLine="640"/>
        <w:outlineLvl w:val="5"/>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1F9A5929">
      <w:pPr>
        <w:adjustRightInd w:val="0"/>
        <w:snapToGrid w:val="0"/>
        <w:spacing w:line="560" w:lineRule="exact"/>
        <w:ind w:firstLine="640" w:firstLineChars="200"/>
        <w:rPr>
          <w:rFonts w:hint="eastAsia" w:ascii="仿宋" w:hAnsi="仿宋" w:eastAsia="仿宋"/>
          <w:sz w:val="32"/>
          <w:szCs w:val="32"/>
        </w:rPr>
      </w:pPr>
      <w:r>
        <w:rPr>
          <w:rFonts w:hint="eastAsia" w:ascii="黑体" w:hAnsi="黑体" w:eastAsia="黑体" w:cs="黑体"/>
          <w:color w:val="000000"/>
          <w:sz w:val="32"/>
          <w:lang w:val="en-US" w:eastAsia="zh-CN"/>
        </w:rPr>
        <w:t>1</w:t>
      </w:r>
      <w:r>
        <w:rPr>
          <w:rFonts w:hint="eastAsia" w:ascii="仿宋" w:hAnsi="仿宋" w:eastAsia="仿宋"/>
          <w:sz w:val="32"/>
          <w:szCs w:val="32"/>
        </w:rPr>
        <w:t>、单位职责及机构设置情况</w:t>
      </w:r>
    </w:p>
    <w:p w14:paraId="2E6C760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单位职责：</w:t>
      </w:r>
    </w:p>
    <w:p w14:paraId="014B5E54">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研究相关理论、政策和规划，拟订社会工作方面相关地方性法规草案、规范性文件并组织实施。负责县委非公有制经济组织和社会组织工作委员会日常工作。深入调查研究，及时向县委报告工作情况并提出建议。指导人民建议征集工作，负责征集、办理公民、法人和其他组织提出的意见建议，向县委、县政府及时反映公民、法人和其他组织对党和国家事业发展提出的重要意见建议。健全和落实党建引领基层治理工作机制，推动城乡社区治理体系和治理能力建设，提出加强和改进基层政权建设的建议，推动基层民主政治建设。指导监督基层群众自治制度的有效实施，健全基层群众自治机制。统筹指导社会组织、行业协会商会党建工作，协调推动行业协会商会深化改革和转型发展。指导混合所有制企业、非公有制企业和新经济组织、新社会组织、新就业群体党建工作，指导协调相关企业单位、社会组织、就业群体中党员的教育、管理、监督和服务工作，研究完善相关领域群众利益协调机制。拟订全县社会工作发展规划、志愿服务规范和标准并组织实施，负责全县志愿服务工作的统筹规划、协调指导、督促检查。会同有关部门推进社会工作人才队伍建设和志愿队伍建设。</w:t>
      </w:r>
    </w:p>
    <w:p w14:paraId="270D2FA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机构设置：办公室、党建指导股、基层政权建设和社区治理股、赵县社会工作综合服务中心。</w:t>
      </w:r>
    </w:p>
    <w:p w14:paraId="632D538E">
      <w:pPr>
        <w:adjustRightInd w:val="0"/>
        <w:snapToGrid w:val="0"/>
        <w:spacing w:line="560" w:lineRule="exact"/>
        <w:ind w:firstLine="640" w:firstLineChars="200"/>
        <w:rPr>
          <w:rFonts w:hint="eastAsia" w:ascii="仿宋" w:hAnsi="仿宋" w:eastAsia="仿宋"/>
          <w:sz w:val="32"/>
          <w:szCs w:val="32"/>
        </w:rPr>
      </w:pPr>
    </w:p>
    <w:p w14:paraId="45DCFAF8">
      <w:pPr>
        <w:adjustRightInd w:val="0"/>
        <w:snapToGrid w:val="0"/>
        <w:spacing w:line="560" w:lineRule="exact"/>
        <w:ind w:firstLine="480" w:firstLineChars="200"/>
        <w:rPr>
          <w:rFonts w:hint="eastAsia" w:ascii="仿宋" w:hAnsi="仿宋" w:eastAsia="仿宋"/>
          <w:sz w:val="24"/>
          <w:szCs w:val="24"/>
        </w:rPr>
      </w:pPr>
      <w:r>
        <w:rPr>
          <w:rFonts w:hint="eastAsia" w:ascii="仿宋" w:hAnsi="仿宋" w:eastAsia="仿宋"/>
          <w:sz w:val="24"/>
          <w:szCs w:val="24"/>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F87E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894D97">
            <w:pPr>
              <w:adjustRightInd w:val="0"/>
              <w:snapToGrid w:val="0"/>
              <w:spacing w:line="560" w:lineRule="exact"/>
              <w:ind w:firstLine="480" w:firstLineChars="200"/>
              <w:jc w:val="center"/>
              <w:rPr>
                <w:rFonts w:hint="eastAsia" w:ascii="仿宋" w:hAnsi="仿宋" w:eastAsia="仿宋"/>
                <w:sz w:val="24"/>
                <w:szCs w:val="24"/>
                <w:lang w:val="en-US" w:eastAsia="zh-CN"/>
              </w:rPr>
            </w:pPr>
            <w:r>
              <w:rPr>
                <w:rFonts w:hint="eastAsia" w:ascii="仿宋" w:hAnsi="仿宋" w:eastAsia="仿宋"/>
                <w:sz w:val="24"/>
                <w:szCs w:val="24"/>
                <w:lang w:val="en-US" w:eastAsia="zh-CN"/>
              </w:rPr>
              <w:t>单位名称</w:t>
            </w:r>
          </w:p>
        </w:tc>
        <w:tc>
          <w:tcPr>
            <w:tcW w:w="1843" w:type="dxa"/>
            <w:vAlign w:val="center"/>
          </w:tcPr>
          <w:p w14:paraId="28D2995E">
            <w:pPr>
              <w:adjustRightInd w:val="0"/>
              <w:snapToGrid w:val="0"/>
              <w:spacing w:line="560" w:lineRule="exact"/>
              <w:ind w:firstLine="480" w:firstLineChars="200"/>
              <w:rPr>
                <w:rFonts w:hint="eastAsia" w:ascii="仿宋" w:hAnsi="仿宋" w:eastAsia="仿宋"/>
                <w:sz w:val="24"/>
                <w:szCs w:val="24"/>
              </w:rPr>
            </w:pPr>
            <w:r>
              <w:rPr>
                <w:rFonts w:hint="eastAsia" w:ascii="仿宋" w:hAnsi="仿宋" w:eastAsia="仿宋"/>
                <w:sz w:val="24"/>
                <w:szCs w:val="24"/>
              </w:rPr>
              <w:t>单位性质</w:t>
            </w:r>
          </w:p>
        </w:tc>
        <w:tc>
          <w:tcPr>
            <w:tcW w:w="2126" w:type="dxa"/>
            <w:vAlign w:val="center"/>
          </w:tcPr>
          <w:p w14:paraId="7BCAEE69">
            <w:pPr>
              <w:adjustRightInd w:val="0"/>
              <w:snapToGrid w:val="0"/>
              <w:spacing w:line="560" w:lineRule="exact"/>
              <w:ind w:firstLine="480" w:firstLineChars="200"/>
              <w:rPr>
                <w:rFonts w:hint="eastAsia" w:ascii="仿宋" w:hAnsi="仿宋" w:eastAsia="仿宋"/>
                <w:sz w:val="24"/>
                <w:szCs w:val="24"/>
              </w:rPr>
            </w:pPr>
            <w:r>
              <w:rPr>
                <w:rFonts w:hint="eastAsia" w:ascii="仿宋" w:hAnsi="仿宋" w:eastAsia="仿宋"/>
                <w:sz w:val="24"/>
                <w:szCs w:val="24"/>
              </w:rPr>
              <w:t>单位规格</w:t>
            </w:r>
          </w:p>
        </w:tc>
        <w:tc>
          <w:tcPr>
            <w:tcW w:w="3827" w:type="dxa"/>
            <w:vAlign w:val="center"/>
          </w:tcPr>
          <w:p w14:paraId="10326C50">
            <w:pPr>
              <w:adjustRightInd w:val="0"/>
              <w:snapToGrid w:val="0"/>
              <w:spacing w:line="560" w:lineRule="exact"/>
              <w:ind w:firstLine="480" w:firstLineChars="200"/>
              <w:rPr>
                <w:rFonts w:hint="eastAsia" w:ascii="仿宋" w:hAnsi="仿宋" w:eastAsia="仿宋"/>
                <w:sz w:val="24"/>
                <w:szCs w:val="24"/>
              </w:rPr>
            </w:pPr>
            <w:r>
              <w:rPr>
                <w:rFonts w:hint="eastAsia" w:ascii="仿宋" w:hAnsi="仿宋" w:eastAsia="仿宋"/>
                <w:sz w:val="24"/>
                <w:szCs w:val="24"/>
              </w:rPr>
              <w:t>经费保障形式</w:t>
            </w:r>
          </w:p>
        </w:tc>
      </w:tr>
      <w:tr w14:paraId="07758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0AAA410">
            <w:pPr>
              <w:adjustRightInd w:val="0"/>
              <w:snapToGrid w:val="0"/>
              <w:spacing w:line="560" w:lineRule="exact"/>
              <w:ind w:firstLine="480" w:firstLineChars="200"/>
              <w:rPr>
                <w:rFonts w:hint="default" w:ascii="仿宋" w:hAnsi="仿宋" w:eastAsia="仿宋"/>
                <w:sz w:val="24"/>
                <w:szCs w:val="24"/>
                <w:lang w:val="en-US" w:eastAsia="zh-CN"/>
              </w:rPr>
            </w:pPr>
            <w:r>
              <w:rPr>
                <w:rFonts w:hint="eastAsia" w:ascii="仿宋" w:hAnsi="仿宋" w:eastAsia="仿宋"/>
                <w:sz w:val="24"/>
                <w:szCs w:val="24"/>
                <w:lang w:val="en-US" w:eastAsia="zh-CN"/>
              </w:rPr>
              <w:t xml:space="preserve">       中国共产党赵县委员会社会工作部</w:t>
            </w:r>
          </w:p>
        </w:tc>
        <w:tc>
          <w:tcPr>
            <w:tcW w:w="1843" w:type="dxa"/>
            <w:tcBorders>
              <w:left w:val="single" w:color="auto" w:sz="6" w:space="0"/>
            </w:tcBorders>
            <w:vAlign w:val="center"/>
          </w:tcPr>
          <w:p w14:paraId="0205DE6C">
            <w:pPr>
              <w:adjustRightInd w:val="0"/>
              <w:snapToGrid w:val="0"/>
              <w:spacing w:line="560" w:lineRule="exact"/>
              <w:ind w:firstLine="480" w:firstLineChars="200"/>
              <w:rPr>
                <w:rFonts w:hint="eastAsia" w:ascii="仿宋" w:hAnsi="仿宋" w:eastAsia="仿宋"/>
                <w:sz w:val="24"/>
                <w:szCs w:val="24"/>
              </w:rPr>
            </w:pPr>
            <w:r>
              <w:rPr>
                <w:rFonts w:hint="eastAsia" w:ascii="仿宋" w:hAnsi="仿宋" w:eastAsia="仿宋"/>
                <w:sz w:val="24"/>
                <w:szCs w:val="24"/>
              </w:rPr>
              <w:t>行政</w:t>
            </w:r>
          </w:p>
        </w:tc>
        <w:tc>
          <w:tcPr>
            <w:tcW w:w="2126" w:type="dxa"/>
            <w:tcBorders>
              <w:left w:val="single" w:color="auto" w:sz="6" w:space="0"/>
            </w:tcBorders>
            <w:vAlign w:val="center"/>
          </w:tcPr>
          <w:p w14:paraId="2450963D">
            <w:pPr>
              <w:adjustRightInd w:val="0"/>
              <w:snapToGrid w:val="0"/>
              <w:spacing w:line="560" w:lineRule="exact"/>
              <w:ind w:firstLine="480" w:firstLineChars="200"/>
              <w:rPr>
                <w:rFonts w:hint="eastAsia" w:ascii="仿宋" w:hAnsi="仿宋" w:eastAsia="仿宋"/>
                <w:sz w:val="24"/>
                <w:szCs w:val="24"/>
              </w:rPr>
            </w:pPr>
            <w:r>
              <w:rPr>
                <w:rFonts w:hint="eastAsia" w:ascii="仿宋" w:hAnsi="仿宋" w:eastAsia="仿宋"/>
                <w:sz w:val="24"/>
                <w:szCs w:val="24"/>
              </w:rPr>
              <w:t>正科级</w:t>
            </w:r>
          </w:p>
        </w:tc>
        <w:tc>
          <w:tcPr>
            <w:tcW w:w="3827" w:type="dxa"/>
            <w:tcBorders>
              <w:left w:val="single" w:color="auto" w:sz="6" w:space="0"/>
            </w:tcBorders>
            <w:vAlign w:val="center"/>
          </w:tcPr>
          <w:p w14:paraId="6C32A575">
            <w:pPr>
              <w:adjustRightInd w:val="0"/>
              <w:snapToGrid w:val="0"/>
              <w:spacing w:line="560" w:lineRule="exact"/>
              <w:ind w:firstLine="480" w:firstLineChars="200"/>
              <w:rPr>
                <w:rFonts w:hint="eastAsia" w:ascii="仿宋" w:hAnsi="仿宋" w:eastAsia="仿宋"/>
                <w:sz w:val="24"/>
                <w:szCs w:val="24"/>
              </w:rPr>
            </w:pPr>
            <w:r>
              <w:rPr>
                <w:rFonts w:hint="eastAsia" w:ascii="仿宋" w:hAnsi="仿宋" w:eastAsia="仿宋"/>
                <w:sz w:val="24"/>
                <w:szCs w:val="24"/>
              </w:rPr>
              <w:t>财政拨款</w:t>
            </w:r>
          </w:p>
        </w:tc>
      </w:tr>
    </w:tbl>
    <w:p w14:paraId="5624421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3、人员及资产情况：</w:t>
      </w:r>
    </w:p>
    <w:p w14:paraId="7A036A37">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中国共产党赵县委员会社会工作部成立于2024年4月，行政编制 9名，事业编制7名，2025年年末在职人员 11名，无离退休人员。2025年固定资产原值</w:t>
      </w:r>
      <w:r>
        <w:rPr>
          <w:rFonts w:hint="eastAsia" w:ascii="宋体" w:hAnsi="宋体" w:eastAsia="宋体" w:cs="宋体"/>
          <w:sz w:val="32"/>
          <w:szCs w:val="32"/>
          <w:lang w:val="en-US" w:eastAsia="zh-CN"/>
        </w:rPr>
        <w:t>20.374183</w:t>
      </w:r>
      <w:r>
        <w:rPr>
          <w:rFonts w:hint="eastAsia" w:ascii="仿宋" w:hAnsi="仿宋" w:eastAsia="仿宋"/>
          <w:sz w:val="32"/>
          <w:szCs w:val="32"/>
          <w:lang w:val="en-US" w:eastAsia="zh-CN"/>
        </w:rPr>
        <w:t xml:space="preserve"> 万元。</w:t>
      </w:r>
    </w:p>
    <w:p w14:paraId="59B79C06">
      <w:pPr>
        <w:spacing w:before="10" w:after="10"/>
        <w:ind w:firstLine="640"/>
        <w:outlineLvl w:val="5"/>
        <w:rPr>
          <w:rFonts w:hint="eastAsia" w:ascii="楷体" w:hAnsi="楷体" w:eastAsia="楷体" w:cs="楷体_GB2312"/>
          <w:bCs/>
          <w:sz w:val="32"/>
          <w:szCs w:val="32"/>
          <w:lang w:eastAsia="zh-CN"/>
        </w:rPr>
      </w:pPr>
      <w:r>
        <w:rPr>
          <w:rFonts w:hint="eastAsia" w:ascii="楷体" w:hAnsi="楷体" w:eastAsia="楷体" w:cs="楷体_GB2312"/>
          <w:bCs/>
          <w:sz w:val="32"/>
          <w:szCs w:val="32"/>
          <w:lang w:eastAsia="zh-CN"/>
        </w:rPr>
        <w:t>（</w:t>
      </w:r>
      <w:r>
        <w:rPr>
          <w:rFonts w:hint="eastAsia" w:ascii="楷体" w:hAnsi="楷体" w:eastAsia="楷体" w:cs="楷体_GB2312"/>
          <w:bCs/>
          <w:sz w:val="32"/>
          <w:szCs w:val="32"/>
          <w:lang w:val="en-US" w:eastAsia="zh-CN"/>
        </w:rPr>
        <w:t>二</w:t>
      </w:r>
      <w:r>
        <w:rPr>
          <w:rFonts w:hint="eastAsia" w:ascii="楷体" w:hAnsi="楷体" w:eastAsia="楷体" w:cs="楷体_GB2312"/>
          <w:bCs/>
          <w:sz w:val="32"/>
          <w:szCs w:val="32"/>
          <w:lang w:eastAsia="zh-CN"/>
        </w:rPr>
        <w:t>）部门收支预决算情况</w:t>
      </w:r>
    </w:p>
    <w:p w14:paraId="1C73EDB6">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根据预算编制，我单位今年的预算收支为</w:t>
      </w:r>
      <w:r>
        <w:rPr>
          <w:rFonts w:hint="eastAsia" w:ascii="宋体" w:hAnsi="宋体" w:cs="宋体"/>
          <w:sz w:val="32"/>
          <w:szCs w:val="32"/>
          <w:lang w:val="en-US" w:eastAsia="zh-CN"/>
        </w:rPr>
        <w:t>174.118123</w:t>
      </w:r>
      <w:r>
        <w:rPr>
          <w:rFonts w:hint="eastAsia" w:ascii="仿宋" w:hAnsi="仿宋" w:eastAsia="仿宋"/>
          <w:sz w:val="32"/>
          <w:szCs w:val="32"/>
          <w:lang w:val="en-US" w:eastAsia="zh-CN"/>
        </w:rPr>
        <w:t xml:space="preserve">万元，决算收支为  </w:t>
      </w:r>
      <w:r>
        <w:rPr>
          <w:rFonts w:hint="eastAsia" w:ascii="宋体" w:hAnsi="宋体" w:cs="宋体"/>
          <w:sz w:val="32"/>
          <w:szCs w:val="32"/>
          <w:lang w:val="en-US" w:eastAsia="zh-CN"/>
        </w:rPr>
        <w:t>174.118123</w:t>
      </w:r>
      <w:r>
        <w:rPr>
          <w:rFonts w:hint="eastAsia" w:ascii="仿宋" w:hAnsi="仿宋" w:eastAsia="仿宋"/>
          <w:sz w:val="32"/>
          <w:szCs w:val="32"/>
          <w:lang w:val="en-US" w:eastAsia="zh-CN"/>
        </w:rPr>
        <w:t>万元。</w:t>
      </w:r>
    </w:p>
    <w:p w14:paraId="255C5D24">
      <w:pPr>
        <w:spacing w:before="10" w:after="10"/>
        <w:ind w:firstLine="640"/>
        <w:outlineLvl w:val="5"/>
        <w:rPr>
          <w:rFonts w:hint="eastAsia" w:ascii="楷体" w:hAnsi="楷体" w:eastAsia="楷体" w:cs="楷体_GB2312"/>
          <w:bCs/>
          <w:sz w:val="32"/>
          <w:szCs w:val="32"/>
          <w:lang w:eastAsia="zh-CN"/>
        </w:rPr>
      </w:pPr>
      <w:r>
        <w:rPr>
          <w:rFonts w:hint="eastAsia" w:ascii="楷体" w:hAnsi="楷体" w:eastAsia="楷体" w:cs="楷体_GB2312"/>
          <w:bCs/>
          <w:sz w:val="32"/>
          <w:szCs w:val="32"/>
          <w:lang w:eastAsia="zh-CN"/>
        </w:rPr>
        <w:t>（三）部门整体支出绩效目标、指标</w:t>
      </w:r>
    </w:p>
    <w:p w14:paraId="7BAF082E">
      <w:pPr>
        <w:adjustRightInd w:val="0"/>
        <w:snapToGrid w:val="0"/>
        <w:spacing w:line="560" w:lineRule="exact"/>
        <w:ind w:firstLine="640" w:firstLineChars="200"/>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1、总体绩效目标</w:t>
      </w:r>
    </w:p>
    <w:p w14:paraId="3F9AF5EA">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县委社会工作部坚定贯彻执行习近平新时代中国特色社会主义思想，认真学习落实习近平总书记关于社会工作的重要指示精神，严格落实中国共产党中央社会工作部和省市各级社会工作部的有关工作部署，恪守自身职责，紧紧围绕县委中心工作，踏实奉献。</w:t>
      </w:r>
    </w:p>
    <w:p w14:paraId="1D43FDE5">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坚持机构组建和工作推进并重，在突出政治引领、加强自身建设和工作统筹上下功夫、求实效。尤其在资金管理上，严格落实各项规定精神，确保每一分钱都落到实处，花出效果。</w:t>
      </w:r>
    </w:p>
    <w:p w14:paraId="6E752EF7">
      <w:pPr>
        <w:adjustRightInd w:val="0"/>
        <w:snapToGrid w:val="0"/>
        <w:spacing w:line="560" w:lineRule="exact"/>
        <w:ind w:firstLine="640" w:firstLineChars="200"/>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2、分项绩效目标</w:t>
      </w:r>
    </w:p>
    <w:p w14:paraId="13E605DA">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）持续深化党的创新理论武装。</w:t>
      </w:r>
    </w:p>
    <w:p w14:paraId="267165B5">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）完善机制推动人民建议征集工作走深走实。</w:t>
      </w:r>
    </w:p>
    <w:p w14:paraId="6948AB22">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）统筹推进党建引领基层治理和基层政权建设。完善党建引领基层治理工作机制；加强基层治理队伍建设；加强基层治理制度建设；着力推进为基层减负赋能。</w:t>
      </w:r>
    </w:p>
    <w:p w14:paraId="40AB759A">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）加强行业协会商会党建工作。一是夯实全县行业协会商会党建工作基础。一是夯实全县行业协会商会党建工作基础；二是推动行业协会商会规范健康发展。</w:t>
      </w:r>
    </w:p>
    <w:p w14:paraId="7B1E96D7">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扎实推进“两企三新”党建工作。一是持续推动党建赋能主导产业集群集聚发展。二是加快推进新业态新就业群体党建创新突破。三是全面提升社会组织党建工作质效。四是着力夯实两新党建工作基础。五是全面增强两新工委整体效能。</w:t>
      </w:r>
    </w:p>
    <w:p w14:paraId="754DCF13">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6</w:t>
      </w:r>
      <w:r>
        <w:rPr>
          <w:rFonts w:hint="eastAsia" w:ascii="仿宋" w:hAnsi="仿宋" w:eastAsia="仿宋"/>
          <w:sz w:val="32"/>
          <w:szCs w:val="32"/>
          <w:lang w:eastAsia="zh-CN"/>
        </w:rPr>
        <w:t>）提升志愿服务和社会人才队伍建设力度。一是健全完善工作体系和服务制度建设；二是加强社工和志愿服务人才队伍建设。</w:t>
      </w:r>
    </w:p>
    <w:p w14:paraId="1ADA59E0">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 xml:space="preserve"> （</w:t>
      </w:r>
      <w:r>
        <w:rPr>
          <w:rFonts w:hint="eastAsia" w:ascii="仿宋" w:hAnsi="仿宋" w:eastAsia="仿宋"/>
          <w:sz w:val="32"/>
          <w:szCs w:val="32"/>
          <w:lang w:val="en-US" w:eastAsia="zh-CN"/>
        </w:rPr>
        <w:t>7</w:t>
      </w:r>
      <w:r>
        <w:rPr>
          <w:rFonts w:hint="eastAsia" w:ascii="仿宋" w:hAnsi="仿宋" w:eastAsia="仿宋"/>
          <w:sz w:val="32"/>
          <w:szCs w:val="32"/>
          <w:lang w:eastAsia="zh-CN"/>
        </w:rPr>
        <w:t>）打造肯干事能担当的模范机关。</w:t>
      </w:r>
    </w:p>
    <w:p w14:paraId="604BA870">
      <w:pPr>
        <w:adjustRightInd w:val="0"/>
        <w:snapToGrid w:val="0"/>
        <w:spacing w:line="560" w:lineRule="exact"/>
        <w:ind w:firstLine="640" w:firstLineChars="200"/>
        <w:rPr>
          <w:rFonts w:hint="eastAsia" w:ascii="仿宋" w:hAnsi="仿宋" w:eastAsia="仿宋"/>
          <w:sz w:val="32"/>
          <w:szCs w:val="32"/>
          <w:lang w:eastAsia="zh-CN"/>
        </w:rPr>
      </w:pPr>
    </w:p>
    <w:p w14:paraId="172889B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0BBC33F">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68F5B72">
      <w:pPr>
        <w:spacing w:line="560" w:lineRule="exact"/>
        <w:rPr>
          <w:rFonts w:hint="default" w:ascii="仿宋" w:hAnsi="仿宋" w:eastAsia="仿宋"/>
          <w:sz w:val="32"/>
          <w:szCs w:val="32"/>
          <w:lang w:val="en-US" w:eastAsia="zh-CN"/>
        </w:rPr>
      </w:pPr>
      <w:r>
        <w:rPr>
          <w:rFonts w:hint="eastAsia" w:ascii="仿宋" w:hAnsi="仿宋" w:eastAsia="仿宋"/>
          <w:sz w:val="32"/>
          <w:szCs w:val="32"/>
        </w:rPr>
        <w:t xml:space="preserve">     </w:t>
      </w:r>
      <w:r>
        <w:rPr>
          <w:rFonts w:hint="eastAsia" w:ascii="仿宋" w:hAnsi="仿宋" w:eastAsia="仿宋"/>
          <w:sz w:val="32"/>
          <w:szCs w:val="32"/>
          <w:lang w:val="en-US" w:eastAsia="zh-CN"/>
        </w:rPr>
        <w:t>为了保证绩效评分工作顺利开展，我单位高度重视，召开专门会议，认真研读有关文件精神，成立了绩效评价工作小组，檀召云为组长，马嘉鹤为副组长，财务室魏洪波为成员，负责绩效评价的组织管理和实施工作。</w:t>
      </w:r>
    </w:p>
    <w:p w14:paraId="573EAE09">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2861100">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严格按照绩效评价的工作要求，明确绩效评价的内容和范围，制定绩效评价工作方案。召开座谈会，对工作方案进行反复讨论研究并广泛征求相关部门和有关人员意见。确定方案后，我单位对各预算项目进行了打分自评。同时，评价工作小组对我单位年度绩效的相关资进行收集、梳理并分析、核实，确保所收集的数据和资料真实可靠。小组成员在对收集的数据、资料进行核对、比较的基础上，对比年度绩效目标，形成评价结论；根据评价结论，撰写绩效评价报告。</w:t>
      </w:r>
    </w:p>
    <w:p w14:paraId="3641941D">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EE2C09A">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CC6438D">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通过严格落实、扎实推进，实现了总体绩效目标。</w:t>
      </w:r>
    </w:p>
    <w:p w14:paraId="14A0AD2D">
      <w:pPr>
        <w:numPr>
          <w:ilvl w:val="0"/>
          <w:numId w:val="2"/>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14:paraId="442F2FDD">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产出指标指标值100%，得分40分；效益指标指标值100%，得分40分；执行率指标指标值100%,得分10分；满意度指标指标值98%，得分9分。</w:t>
      </w:r>
    </w:p>
    <w:p w14:paraId="3F8ED17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918BB7E">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总体得分99分，为优秀等级。</w:t>
      </w:r>
    </w:p>
    <w:p w14:paraId="3686C7AB">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FD4E8AE">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（一）存在的主要问题</w:t>
      </w:r>
    </w:p>
    <w:p w14:paraId="10154C65">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因为单位为2024年新成立单位，人手不足，在服务对象的覆盖上尚未进行深入挖掘，导致服务对象某些程度上接受不够，满意率有待提升。</w:t>
      </w:r>
    </w:p>
    <w:p w14:paraId="1F6C7D08">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（二）针对问题提出具体的改进措施或建议</w:t>
      </w:r>
    </w:p>
    <w:p w14:paraId="0102F210">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针对存在的问题，我单位今后工作中要加大人力投入，服务工作做深做细，提升服务对象知晓度，</w:t>
      </w:r>
      <w:bookmarkStart w:id="0" w:name="_GoBack"/>
      <w:bookmarkEnd w:id="0"/>
      <w:r>
        <w:rPr>
          <w:rFonts w:hint="eastAsia" w:ascii="仿宋" w:hAnsi="仿宋" w:eastAsia="仿宋"/>
          <w:sz w:val="32"/>
          <w:szCs w:val="32"/>
          <w:lang w:val="en-US" w:eastAsia="zh-CN"/>
        </w:rPr>
        <w:t>同时加大自身服务能力学习提升，加大对服务对象的挖掘力度，以提高服务对象的满意度。</w:t>
      </w:r>
    </w:p>
    <w:p w14:paraId="524C845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p w14:paraId="41FA6886">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檀召云   中国共产党赵县委员会社会工作部部长、赵县县委两新工委书记</w:t>
      </w:r>
    </w:p>
    <w:p w14:paraId="371326EE">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马嘉鹤   中国共产党赵县委员会社会工作部副部长</w:t>
      </w:r>
    </w:p>
    <w:p w14:paraId="5E6C3791">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魏洪波   中国共产党赵县委员会社会工作部八级职员</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script"/>
    <w:pitch w:val="default"/>
    <w:sig w:usb0="00000000" w:usb1="00000000" w:usb2="00000000" w:usb3="00000000" w:csb0="00040000" w:csb1="00000000"/>
  </w:font>
  <w:font w:name="方正书宋_GBK">
    <w:altName w:val="微软雅黑"/>
    <w:panose1 w:val="00000000000000000000"/>
    <w:charset w:val="86"/>
    <w:family w:val="script"/>
    <w:pitch w:val="default"/>
    <w:sig w:usb0="00000000" w:usb1="00000000"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ECE8BE">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9DF1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469DF1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0YTc3OWQ2NGQ4ZDQ3MGQzNGM1Mjk4ZDI2OGFmYWQ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89146D4"/>
    <w:rsid w:val="09721397"/>
    <w:rsid w:val="09933F84"/>
    <w:rsid w:val="0A94010F"/>
    <w:rsid w:val="0BB63BED"/>
    <w:rsid w:val="0EB97A43"/>
    <w:rsid w:val="0EBD2122"/>
    <w:rsid w:val="0F214EAE"/>
    <w:rsid w:val="11B71E6A"/>
    <w:rsid w:val="13555F8E"/>
    <w:rsid w:val="148368D6"/>
    <w:rsid w:val="188B5C08"/>
    <w:rsid w:val="1AAF0063"/>
    <w:rsid w:val="1BE140DE"/>
    <w:rsid w:val="1C7701E7"/>
    <w:rsid w:val="1D491BD5"/>
    <w:rsid w:val="21C94912"/>
    <w:rsid w:val="248C197D"/>
    <w:rsid w:val="252959AF"/>
    <w:rsid w:val="253C296C"/>
    <w:rsid w:val="277A6671"/>
    <w:rsid w:val="281A529E"/>
    <w:rsid w:val="292D35B7"/>
    <w:rsid w:val="2FE63DAE"/>
    <w:rsid w:val="33C60225"/>
    <w:rsid w:val="33EB6CFF"/>
    <w:rsid w:val="34A169B0"/>
    <w:rsid w:val="35A12947"/>
    <w:rsid w:val="37387040"/>
    <w:rsid w:val="3B625C0A"/>
    <w:rsid w:val="3CEE1963"/>
    <w:rsid w:val="436B78D3"/>
    <w:rsid w:val="4B1D2ECC"/>
    <w:rsid w:val="4C9C27FE"/>
    <w:rsid w:val="4EAF2687"/>
    <w:rsid w:val="4EEF0613"/>
    <w:rsid w:val="4FEC4404"/>
    <w:rsid w:val="502A025A"/>
    <w:rsid w:val="50B939E9"/>
    <w:rsid w:val="512260B4"/>
    <w:rsid w:val="52BD6ACB"/>
    <w:rsid w:val="53FE70AC"/>
    <w:rsid w:val="541779CD"/>
    <w:rsid w:val="55537534"/>
    <w:rsid w:val="561A74F1"/>
    <w:rsid w:val="57941B6F"/>
    <w:rsid w:val="59695A06"/>
    <w:rsid w:val="597244E8"/>
    <w:rsid w:val="5CE22E14"/>
    <w:rsid w:val="5D133138"/>
    <w:rsid w:val="5EB71C30"/>
    <w:rsid w:val="608642F1"/>
    <w:rsid w:val="614732B1"/>
    <w:rsid w:val="66AF0CE5"/>
    <w:rsid w:val="6AC537CF"/>
    <w:rsid w:val="6E5B14A6"/>
    <w:rsid w:val="6EE803D8"/>
    <w:rsid w:val="711B255E"/>
    <w:rsid w:val="7562499A"/>
    <w:rsid w:val="77A37E61"/>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2"/>
    <w:qFormat/>
    <w:uiPriority w:val="0"/>
    <w:rPr>
      <w:rFonts w:ascii="方正书宋_GBK" w:hAnsi="方正书宋_GBK" w:eastAsia="方正书宋_GBK" w:cs="方正书宋_GBK"/>
      <w:sz w:val="21"/>
      <w:lang w:val="en-US" w:eastAsia="zh-CN" w:bidi="ar-SA"/>
    </w:rPr>
  </w:style>
  <w:style w:type="paragraph" w:customStyle="1" w:styleId="10">
    <w:name w:val="单元格样式3"/>
    <w:qFormat/>
    <w:uiPriority w:val="0"/>
    <w:pPr>
      <w:jc w:val="center"/>
    </w:pPr>
    <w:rPr>
      <w:rFonts w:ascii="方正书宋_GBK" w:hAnsi="方正书宋_GBK" w:eastAsia="方正书宋_GBK" w:cs="方正书宋_GBK"/>
      <w:sz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2180</Words>
  <Characters>2244</Characters>
  <Lines>4</Lines>
  <Paragraphs>1</Paragraphs>
  <TotalTime>1</TotalTime>
  <ScaleCrop>false</ScaleCrop>
  <LinksUpToDate>false</LinksUpToDate>
  <CharactersWithSpaces>2283</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2026-04-09T23:15:49Z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5D945AF3543B42B2AC61D8048CAC4FC8_13</vt:lpwstr>
  </property>
  <property fmtid="{D5CDD505-2E9C-101B-9397-08002B2CF9AE}" pid="4" name="KSOTemplateDocerSaveRecord">
    <vt:lpwstr>eyJoZGlkIjoiMGMwYTAzZTVmNTA3ZDUyZjkwOWI5ZmRlMTQ0ODAxOTUiLCJ1c2VySWQiOiI3NzY1NzkzMTYifQ==</vt:lpwstr>
  </property>
</Properties>
</file>