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A4D334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5D5EB4F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A698E78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赵县沙河店镇人民政府部门</w:t>
      </w:r>
    </w:p>
    <w:p w14:paraId="275FF1A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4ED442F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C2F55A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贯彻落实县委、县政府《全面落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实预算绩效管理的实施意见》（[2019]77）文件精神，遵循“科学性、规范性、客观性和公正性”的原则，对沙河店镇人民政府部门202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E8394F2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2B02C96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EA2DFE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沙河店镇政府主要围绕加强党的领导、夯实基层政权，促进经济发展、增加农民收入，优化公共服务、着力改善民生，强化社会治理、维护社会稳定，推进基层民主、促进农村和谐，改善生态环境、提升乡风文明等方面履行职能。镇党委是党在农村的基层组织，是党在农村全部工作和战斗力的基础，全面领导本乡镇的工作和基层社会治理，支持和保证行政组织、经济组织和群众自治组织充分行使职权。镇人大是基层地方国家权力机关，加强基层政权、推进基层民主法治建设和政治文明建设。镇政府是本级人民代表大会的执行机关，是本级国家行政机关，依法行使行政职权。</w:t>
      </w:r>
      <w:r>
        <w:rPr>
          <w:rFonts w:ascii="仿宋" w:hAnsi="仿宋" w:eastAsia="仿宋"/>
          <w:sz w:val="32"/>
          <w:szCs w:val="32"/>
        </w:rPr>
        <w:t>赵县沙河店镇人民政府（含所属单位）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年末固定资产金额为3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77.32</w:t>
      </w:r>
      <w:r>
        <w:rPr>
          <w:rFonts w:ascii="仿宋" w:hAnsi="仿宋" w:eastAsia="仿宋"/>
          <w:sz w:val="32"/>
          <w:szCs w:val="32"/>
        </w:rPr>
        <w:t>万元。</w:t>
      </w:r>
    </w:p>
    <w:p w14:paraId="487253FA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7C2307BB">
      <w:pPr>
        <w:spacing w:line="500" w:lineRule="exact"/>
        <w:ind w:firstLine="640" w:firstLineChars="200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年沙河店镇部门决算总收入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779.82</w:t>
      </w:r>
      <w:r>
        <w:rPr>
          <w:rFonts w:hint="eastAsia" w:ascii="仿宋" w:hAnsi="仿宋" w:eastAsia="仿宋"/>
          <w:sz w:val="32"/>
          <w:szCs w:val="32"/>
        </w:rPr>
        <w:t>万元，一般公共预算财政拨款收入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768.44</w:t>
      </w:r>
      <w:r>
        <w:rPr>
          <w:rFonts w:hint="eastAsia" w:ascii="仿宋" w:hAnsi="仿宋" w:eastAsia="仿宋"/>
          <w:sz w:val="32"/>
          <w:szCs w:val="32"/>
        </w:rPr>
        <w:t>万元，政府性基金预算财政拨款收入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11.38</w:t>
      </w:r>
      <w:r>
        <w:rPr>
          <w:rFonts w:hint="eastAsia" w:ascii="仿宋" w:hAnsi="仿宋" w:eastAsia="仿宋"/>
          <w:sz w:val="32"/>
          <w:szCs w:val="32"/>
        </w:rPr>
        <w:t>万元。收支决算总表支出栏、基本支出表、项目支出表按经济分类和支出功能分类科目编制，反映赵县沙河店镇人民政府202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年度部门决算中支出预算的总体情况。202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年支出决算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779.82</w:t>
      </w:r>
      <w:r>
        <w:rPr>
          <w:rFonts w:hint="eastAsia" w:ascii="仿宋" w:hAnsi="仿宋" w:eastAsia="仿宋"/>
          <w:sz w:val="32"/>
          <w:szCs w:val="32"/>
        </w:rPr>
        <w:t>元，其中基本支出6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48.58</w:t>
      </w:r>
      <w:r>
        <w:rPr>
          <w:rFonts w:hint="eastAsia" w:ascii="仿宋" w:hAnsi="仿宋" w:eastAsia="仿宋"/>
          <w:sz w:val="32"/>
          <w:szCs w:val="32"/>
        </w:rPr>
        <w:t>万元，包括人员经费5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47.58</w:t>
      </w:r>
      <w:r>
        <w:rPr>
          <w:rFonts w:hint="eastAsia" w:ascii="仿宋" w:hAnsi="仿宋" w:eastAsia="仿宋"/>
          <w:sz w:val="32"/>
          <w:szCs w:val="32"/>
        </w:rPr>
        <w:t>万元和日常公用经费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101</w:t>
      </w:r>
      <w:r>
        <w:rPr>
          <w:rFonts w:hint="eastAsia" w:ascii="仿宋" w:hAnsi="仿宋" w:eastAsia="仿宋"/>
          <w:sz w:val="32"/>
          <w:szCs w:val="32"/>
        </w:rPr>
        <w:t>万元；项目支出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131.24</w:t>
      </w:r>
      <w:r>
        <w:rPr>
          <w:rFonts w:hint="eastAsia" w:ascii="仿宋" w:hAnsi="仿宋" w:eastAsia="仿宋"/>
          <w:sz w:val="32"/>
          <w:szCs w:val="32"/>
        </w:rPr>
        <w:t>万元，主要为关于下达2024年中央专项彩票公益金支持地方社会公益事业发展资金、公益项目绿化占地补偿、服务群众专项（党报党刊征订费用）、人大代表活动经费、衡昔高速机耕路补偿费用、型煤炉具补贴资金（多康）等。</w:t>
      </w:r>
    </w:p>
    <w:p w14:paraId="5A1AE576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829C9A2">
      <w:pPr>
        <w:spacing w:line="50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一是</w:t>
      </w:r>
      <w:r>
        <w:rPr>
          <w:rFonts w:hint="eastAsia" w:ascii="仿宋" w:hAnsi="仿宋" w:eastAsia="仿宋"/>
          <w:sz w:val="32"/>
          <w:szCs w:val="32"/>
        </w:rPr>
        <w:t>宣传、贯彻、执行党的路线方针政策和国家法律、法规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9FE4B99">
      <w:pPr>
        <w:spacing w:line="50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二是</w:t>
      </w:r>
      <w:r>
        <w:rPr>
          <w:rFonts w:hint="eastAsia" w:ascii="仿宋" w:hAnsi="仿宋" w:eastAsia="仿宋"/>
          <w:sz w:val="32"/>
          <w:szCs w:val="32"/>
        </w:rPr>
        <w:t>落实国家政策，严格依法行政，发挥经济管理职能，加强政策引导，制定发展规划，服务市场主体和营造发展环境，搞好市场监管，大力促进社会事业发展，发展镇村经济、文化和社会事业，提供公共服务，维护社会稳定，构建社会主义和谐社会,负责搞好本镇产业发展规划、加强工业经济管理，培育发展农村经济,负责做好农业技术推广和服务。制定本镇发展规划、发展特色经济，做好农业技术和良种,粮补的推广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13CEB6C">
      <w:pPr>
        <w:spacing w:line="50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三是</w:t>
      </w:r>
      <w:r>
        <w:rPr>
          <w:rFonts w:hint="eastAsia" w:ascii="仿宋" w:hAnsi="仿宋" w:eastAsia="仿宋"/>
          <w:sz w:val="32"/>
          <w:szCs w:val="32"/>
        </w:rPr>
        <w:t>负责镇村公共基础建设、养护，负责配合教育、科技、文体、卫生部门搞好九年义务教育，配合电力部门电网改造，民政、残联农村扶贫低保工作，配合人力资源社会保障部门做好农村了动力职业培训，加强食品药品监管工作，完成镇村道路基础设施建设、养护，配合学校做好义务教育工作，做好群众文艺、体育、健身运动，做好民政、残联救助服务工作，做好农村劳动力职业培训工作，完成食品药品监管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DD7C746">
      <w:pPr>
        <w:spacing w:line="50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四是</w:t>
      </w:r>
      <w:r>
        <w:rPr>
          <w:rFonts w:hint="eastAsia" w:ascii="仿宋" w:hAnsi="仿宋" w:eastAsia="仿宋"/>
          <w:sz w:val="32"/>
          <w:szCs w:val="32"/>
        </w:rPr>
        <w:t>财政资金监督管理、农村合同、减负、统计、审计、人口及计划生育工作，推进农村民主政治建设和村民自治，加强农村基层组织建设及农村精神文明、生态村文明建设，安全生产监督管理，配合武装部征兵工作、环保部门环境无卫生、完成镇村财务监督管理、统计、审计、计划生育工作、完成民主政治建设，实现公民选举、决策、方面创造条件，完成征兵、环境保护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1C7B2C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D9F4DB1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2B4118A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为进一步规范项目预算支出管理，牢固树立绩效理念，切实提高资金使用效益，按照省财政厅的要求，我镇坚持把绩效自评工作作为检验我镇服务发展、服务基层、服务群众的主要标尺。为确保该项工作取得实效，我镇高度重视，认真落实绩效自评工作。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年我镇积极开展预算绩效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/>
          <w:sz w:val="32"/>
          <w:szCs w:val="32"/>
        </w:rPr>
        <w:t>工作，成立专项工作领导小组，由镇长任组长，纪委书记任副组长，同时抽调财政所人员，具体负责绩效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/>
          <w:sz w:val="32"/>
          <w:szCs w:val="32"/>
        </w:rPr>
        <w:t>工作。</w:t>
      </w:r>
    </w:p>
    <w:p w14:paraId="0BF83C91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7C28F26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项目评价时注重各个项目实施的整体过程，调研项目涉及各种人员及经济、社会、生态等调查，综合各方面因素进行的自评工作。</w:t>
      </w:r>
    </w:p>
    <w:p w14:paraId="43C69D46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三、部门整体支出绩效目标实现情况及指标分析</w:t>
      </w:r>
    </w:p>
    <w:p w14:paraId="3F8C748D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6E07CAC">
      <w:pPr>
        <w:pStyle w:val="8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年部门整体绩效目标实现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%，其中包括</w:t>
      </w:r>
      <w:r>
        <w:rPr>
          <w:rFonts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个项目，</w:t>
      </w:r>
      <w:r>
        <w:rPr>
          <w:rFonts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个分项绩效目标中运行情况良好（绩效目标完成率和资金支出进度均达到50%）的项目有</w:t>
      </w:r>
      <w:r>
        <w:rPr>
          <w:rFonts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个，运行效果不理想（绩效目标完成率和资金支出进度中有1项未达到50%）的项目有</w:t>
      </w:r>
      <w:r>
        <w:rPr>
          <w:rFonts w:ascii="仿宋" w:hAnsi="仿宋" w:eastAsia="仿宋" w:cs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个。</w:t>
      </w:r>
    </w:p>
    <w:p w14:paraId="697DB378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796F6B6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预算绩效文本中主要从完成数量、质量、时效、成本效益四个方面对分项目标指标完成情况进行评价，指标充分细化、量化，得分依据比较充分，自评的1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</w:rPr>
        <w:t>个项目涉及的数量、质量、时效、成本皆得到较好的控制，完成了既定的绩效目标，各分项绩效目标得分皆在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/>
          <w:sz w:val="32"/>
          <w:szCs w:val="32"/>
        </w:rPr>
        <w:t>分以上。</w:t>
      </w:r>
    </w:p>
    <w:p w14:paraId="4EC01B0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26142D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得分＜75分为一般；得分＜60分为较差。我部门整体支出综合绩效评价为优秀等级。</w:t>
      </w:r>
    </w:p>
    <w:p w14:paraId="5C161D3E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834B3C2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切实加快预算执行进度，提升资金使用效率。202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年我单位严格按照县财政局预算执行进度的相关要求，督促业务部室加快项目实施进度，切实提高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了</w:t>
      </w:r>
      <w:r>
        <w:rPr>
          <w:rFonts w:hint="eastAsia" w:ascii="仿宋" w:hAnsi="仿宋" w:eastAsia="仿宋" w:cs="仿宋"/>
          <w:sz w:val="32"/>
          <w:szCs w:val="32"/>
        </w:rPr>
        <w:t>预算资金使用效率，确保年底全部执行完所有的预算指标，全面完成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了</w:t>
      </w:r>
      <w:r>
        <w:rPr>
          <w:rFonts w:hint="eastAsia" w:ascii="仿宋" w:hAnsi="仿宋" w:eastAsia="仿宋" w:cs="仿宋"/>
          <w:sz w:val="32"/>
          <w:szCs w:val="32"/>
        </w:rPr>
        <w:t>单位年初制定的各项目标任务。</w:t>
      </w:r>
    </w:p>
    <w:p w14:paraId="40313946">
      <w:pPr>
        <w:pStyle w:val="5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下一步我单位将密切关注目标任务开展情况，确保实际工作切合绩效目标。202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，我单位将严格按照县财政局预算管理和绩效目标管理要求，紧紧围绕《绩效目标批复表》规定的各项目标任务，密切关注目标任务开展情况，适时调整自身工作方向和内容，确保绩效目标得到全面贯彻执行。若因客观因素未能完成绩效目标，则严格按照省财政绩效目标调整要求，及时调整年初制定的绩效指标，确保绩效目标顺利完成。</w:t>
      </w:r>
    </w:p>
    <w:p w14:paraId="7FBA676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六、评价工作组人员名单及签字（姓名、工作单位）</w:t>
      </w:r>
    </w:p>
    <w:p w14:paraId="71C6FDD9">
      <w:pPr>
        <w:pStyle w:val="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32"/>
          <w:szCs w:val="32"/>
        </w:rPr>
        <w:t xml:space="preserve">宋立杰  沙河店镇政府   </w:t>
      </w:r>
    </w:p>
    <w:p w14:paraId="1C3584C0">
      <w:pPr>
        <w:pStyle w:val="2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韩志广  沙河店镇政府   </w:t>
      </w:r>
    </w:p>
    <w:p w14:paraId="670C4162">
      <w:pPr>
        <w:pStyle w:val="2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孙姣姣 </w:t>
      </w:r>
      <w:r>
        <w:rPr>
          <w:rFonts w:hint="eastAsia" w:ascii="仿宋" w:hAnsi="仿宋" w:eastAsia="仿宋" w:cs="仿宋"/>
          <w:sz w:val="32"/>
          <w:szCs w:val="32"/>
        </w:rPr>
        <w:t xml:space="preserve"> 沙河店镇政府     </w:t>
      </w:r>
    </w:p>
    <w:p w14:paraId="5E6942A8">
      <w:pPr>
        <w:spacing w:line="560" w:lineRule="exact"/>
        <w:rPr>
          <w:rFonts w:ascii="仿宋" w:hAnsi="仿宋" w:eastAsia="仿宋"/>
        </w:rPr>
      </w:pPr>
    </w:p>
    <w:p w14:paraId="1397EED4">
      <w:pPr>
        <w:spacing w:line="560" w:lineRule="exact"/>
        <w:rPr>
          <w:rFonts w:hint="default" w:ascii="仿宋" w:hAnsi="仿宋" w:eastAsia="仿宋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454145">
    <w:pPr>
      <w:pStyle w:val="3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598A331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31A4A2D"/>
    <w:rsid w:val="03D16FFC"/>
    <w:rsid w:val="03D96696"/>
    <w:rsid w:val="046F331E"/>
    <w:rsid w:val="066E1317"/>
    <w:rsid w:val="069C2342"/>
    <w:rsid w:val="07956271"/>
    <w:rsid w:val="08987DAC"/>
    <w:rsid w:val="09721397"/>
    <w:rsid w:val="0AAA3AB8"/>
    <w:rsid w:val="0BB63BED"/>
    <w:rsid w:val="0EB97A43"/>
    <w:rsid w:val="0EBD2122"/>
    <w:rsid w:val="0F214EAE"/>
    <w:rsid w:val="0F38281A"/>
    <w:rsid w:val="11B71E6A"/>
    <w:rsid w:val="16FB6BF7"/>
    <w:rsid w:val="1AAF0063"/>
    <w:rsid w:val="1AE856E5"/>
    <w:rsid w:val="1BE140DE"/>
    <w:rsid w:val="1CB05D8E"/>
    <w:rsid w:val="1D491BD5"/>
    <w:rsid w:val="1D86388C"/>
    <w:rsid w:val="1FF04855"/>
    <w:rsid w:val="218C669E"/>
    <w:rsid w:val="241E2177"/>
    <w:rsid w:val="248C197D"/>
    <w:rsid w:val="252959AF"/>
    <w:rsid w:val="276205CD"/>
    <w:rsid w:val="277A6671"/>
    <w:rsid w:val="27AD5B89"/>
    <w:rsid w:val="281A529E"/>
    <w:rsid w:val="292D35B7"/>
    <w:rsid w:val="2A944F41"/>
    <w:rsid w:val="2DDF4725"/>
    <w:rsid w:val="2F1A79DF"/>
    <w:rsid w:val="33EB6CFF"/>
    <w:rsid w:val="35103416"/>
    <w:rsid w:val="35A12947"/>
    <w:rsid w:val="36631C6B"/>
    <w:rsid w:val="37387040"/>
    <w:rsid w:val="37B254F5"/>
    <w:rsid w:val="381C6576"/>
    <w:rsid w:val="383733B0"/>
    <w:rsid w:val="3A7C2BAF"/>
    <w:rsid w:val="3AF762F5"/>
    <w:rsid w:val="3B084B8F"/>
    <w:rsid w:val="3B625C0A"/>
    <w:rsid w:val="3CEE1963"/>
    <w:rsid w:val="3DC7543B"/>
    <w:rsid w:val="41B82E6B"/>
    <w:rsid w:val="436B78D3"/>
    <w:rsid w:val="444A152C"/>
    <w:rsid w:val="45795008"/>
    <w:rsid w:val="4673325B"/>
    <w:rsid w:val="476F66C2"/>
    <w:rsid w:val="479E2B03"/>
    <w:rsid w:val="4AB64608"/>
    <w:rsid w:val="4C9C27FE"/>
    <w:rsid w:val="4D0E24D9"/>
    <w:rsid w:val="4DAD3AA0"/>
    <w:rsid w:val="50243DC2"/>
    <w:rsid w:val="50323D06"/>
    <w:rsid w:val="512260B4"/>
    <w:rsid w:val="51894824"/>
    <w:rsid w:val="52BD6ACB"/>
    <w:rsid w:val="53EF4599"/>
    <w:rsid w:val="5486329D"/>
    <w:rsid w:val="54A35BFD"/>
    <w:rsid w:val="54F53071"/>
    <w:rsid w:val="55537534"/>
    <w:rsid w:val="561A74F1"/>
    <w:rsid w:val="56846382"/>
    <w:rsid w:val="5915699E"/>
    <w:rsid w:val="597244E8"/>
    <w:rsid w:val="59C3464B"/>
    <w:rsid w:val="5A2055FA"/>
    <w:rsid w:val="5E090985"/>
    <w:rsid w:val="5EB71C30"/>
    <w:rsid w:val="5F1D47FE"/>
    <w:rsid w:val="60BA778A"/>
    <w:rsid w:val="63BA6ABF"/>
    <w:rsid w:val="66AF0CE5"/>
    <w:rsid w:val="68EC771B"/>
    <w:rsid w:val="6AC537CF"/>
    <w:rsid w:val="6CED3A62"/>
    <w:rsid w:val="6DB61FA8"/>
    <w:rsid w:val="6E5B14A6"/>
    <w:rsid w:val="6F667AFB"/>
    <w:rsid w:val="711B255E"/>
    <w:rsid w:val="71A768D5"/>
    <w:rsid w:val="73661E78"/>
    <w:rsid w:val="758331B5"/>
    <w:rsid w:val="76B259BC"/>
    <w:rsid w:val="79BF6786"/>
    <w:rsid w:val="7BB51E06"/>
    <w:rsid w:val="7BFA6A35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  <w:rPr>
      <w:rFonts w:asciiTheme="minorHAnsi" w:hAnsiTheme="minorHAnsi" w:eastAsiaTheme="minorEastAsia" w:cstheme="minorBidi"/>
      <w:szCs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footnote text"/>
    <w:basedOn w:val="1"/>
    <w:qFormat/>
    <w:uiPriority w:val="0"/>
    <w:pPr>
      <w:snapToGrid w:val="0"/>
      <w:jc w:val="left"/>
    </w:pPr>
    <w:rPr>
      <w:rFonts w:asciiTheme="minorHAnsi" w:hAnsiTheme="minorHAnsi" w:eastAsiaTheme="minorEastAsia" w:cstheme="minorBidi"/>
      <w:sz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2309</Words>
  <Characters>2410</Characters>
  <Lines>4</Lines>
  <Paragraphs>1</Paragraphs>
  <TotalTime>0</TotalTime>
  <ScaleCrop>false</ScaleCrop>
  <LinksUpToDate>false</LinksUpToDate>
  <CharactersWithSpaces>2454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2026-04-14T06:46:47Z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eyJoZGlkIjoiZjBlMjVmNDExMTMxNWNhZGNjZTJiODI2NDZkZWI3YTkiLCJ1c2VySWQiOiIxNTUwMjQwMDk2In0=</vt:lpwstr>
  </property>
</Properties>
</file>