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036B7D">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178CA431">
      <w:pPr>
        <w:spacing w:line="560" w:lineRule="exact"/>
        <w:jc w:val="center"/>
        <w:rPr>
          <w:rFonts w:ascii="宋体" w:hAnsi="宋体" w:cs="宋体"/>
          <w:b/>
          <w:bCs/>
          <w:sz w:val="44"/>
          <w:szCs w:val="44"/>
        </w:rPr>
      </w:pPr>
    </w:p>
    <w:p w14:paraId="4E7C28B7">
      <w:pPr>
        <w:spacing w:line="560" w:lineRule="exact"/>
        <w:jc w:val="center"/>
        <w:rPr>
          <w:rFonts w:ascii="宋体" w:hAnsi="宋体" w:cs="宋体"/>
          <w:b/>
          <w:bCs/>
          <w:sz w:val="44"/>
          <w:szCs w:val="44"/>
        </w:rPr>
      </w:pPr>
      <w:r>
        <w:rPr>
          <w:rFonts w:ascii="宋体" w:hAnsi="宋体" w:cs="宋体"/>
          <w:b/>
          <w:bCs/>
          <w:sz w:val="44"/>
          <w:szCs w:val="44"/>
        </w:rPr>
        <w:t>赵县供销合作社联合社</w:t>
      </w:r>
      <w:r>
        <w:rPr>
          <w:rFonts w:hint="eastAsia" w:ascii="宋体" w:hAnsi="宋体" w:cs="宋体"/>
          <w:b/>
          <w:bCs/>
          <w:sz w:val="44"/>
          <w:szCs w:val="44"/>
        </w:rPr>
        <w:t>部门</w:t>
      </w:r>
    </w:p>
    <w:p w14:paraId="3EAEBA53">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09E4353A">
      <w:pPr>
        <w:spacing w:line="560" w:lineRule="exact"/>
        <w:jc w:val="center"/>
        <w:rPr>
          <w:rFonts w:ascii="华文楷体" w:eastAsia="华文楷体"/>
          <w:sz w:val="32"/>
          <w:szCs w:val="32"/>
        </w:rPr>
      </w:pPr>
    </w:p>
    <w:p w14:paraId="1B4A566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贯彻落实县委、县政府《</w:t>
      </w:r>
      <w:bookmarkStart w:id="0" w:name="_GoBack"/>
      <w:bookmarkEnd w:id="0"/>
      <w:r>
        <w:rPr>
          <w:rFonts w:hint="eastAsia" w:ascii="仿宋" w:hAnsi="仿宋" w:eastAsia="仿宋"/>
          <w:sz w:val="32"/>
          <w:szCs w:val="32"/>
        </w:rPr>
        <w:t>全面落实预算绩效管理的实施意见》（[2019]77）文件精神，遵循“科学性、规范性、客观性和公正性”的原则，对</w:t>
      </w:r>
      <w:r>
        <w:rPr>
          <w:rFonts w:ascii="仿宋" w:hAnsi="仿宋" w:eastAsia="仿宋"/>
          <w:sz w:val="32"/>
          <w:szCs w:val="32"/>
        </w:rPr>
        <w:t>赵县供销合作社联合社</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47EB9C08">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D90FAFE">
      <w:pPr>
        <w:numPr>
          <w:ilvl w:val="0"/>
          <w:numId w:val="1"/>
        </w:numPr>
        <w:adjustRightInd w:val="0"/>
        <w:snapToGrid w:val="0"/>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部门概况</w:t>
      </w:r>
    </w:p>
    <w:p w14:paraId="57E3BFF7">
      <w:pPr>
        <w:adjustRightInd w:val="0"/>
        <w:snapToGrid w:val="0"/>
        <w:spacing w:line="560" w:lineRule="exact"/>
        <w:ind w:firstLine="640" w:firstLineChars="200"/>
        <w:rPr>
          <w:rFonts w:hint="eastAsia" w:ascii="仿宋" w:hAnsi="仿宋" w:eastAsia="仿宋"/>
          <w:sz w:val="32"/>
          <w:szCs w:val="32"/>
          <w:lang w:val="en-US"/>
        </w:rPr>
      </w:pPr>
      <w:r>
        <w:rPr>
          <w:rFonts w:hint="eastAsia" w:ascii="仿宋" w:hAnsi="仿宋" w:eastAsia="仿宋"/>
          <w:sz w:val="32"/>
          <w:szCs w:val="32"/>
          <w:lang w:val="en-US"/>
        </w:rPr>
        <w:t>根据县委办印发《赵县供销合作社联合社机关职能配置，内设机构和人员编制规定》（赵办字[2025]23号）</w:t>
      </w:r>
      <w:r>
        <w:rPr>
          <w:rFonts w:ascii="仿宋" w:hAnsi="仿宋" w:eastAsia="仿宋"/>
          <w:sz w:val="32"/>
          <w:szCs w:val="32"/>
          <w:lang w:val="en-US"/>
        </w:rPr>
        <w:t>，</w:t>
      </w:r>
      <w:r>
        <w:rPr>
          <w:rFonts w:hint="eastAsia" w:ascii="仿宋" w:hAnsi="仿宋" w:eastAsia="仿宋"/>
          <w:sz w:val="32"/>
          <w:szCs w:val="32"/>
          <w:lang w:val="en-US"/>
        </w:rPr>
        <w:t>县供销社机关事业编制16名。设理事会主任1名(正科级)、副主任1名(副科级)、监事会主任1名(副科级)、股级职数5名。县供销社机关设办公室、人事教育股、财务审计股、基层业务股、资产管理股5个机构。</w:t>
      </w:r>
    </w:p>
    <w:p w14:paraId="5B71C5EA">
      <w:pPr>
        <w:adjustRightInd w:val="0"/>
        <w:snapToGrid w:val="0"/>
        <w:spacing w:line="560" w:lineRule="exact"/>
        <w:ind w:firstLine="640" w:firstLineChars="200"/>
        <w:rPr>
          <w:rFonts w:hint="eastAsia" w:ascii="仿宋" w:hAnsi="仿宋" w:eastAsia="仿宋"/>
          <w:sz w:val="32"/>
          <w:szCs w:val="32"/>
          <w:lang w:val="en-US"/>
        </w:rPr>
      </w:pPr>
      <w:r>
        <w:rPr>
          <w:rFonts w:hint="eastAsia" w:ascii="仿宋" w:hAnsi="仿宋" w:eastAsia="仿宋"/>
          <w:sz w:val="32"/>
          <w:szCs w:val="32"/>
          <w:lang w:val="en-US"/>
        </w:rPr>
        <w:t>赵县供销合作社联合社主要职责是：</w:t>
      </w:r>
    </w:p>
    <w:p w14:paraId="046AD06B">
      <w:pPr>
        <w:adjustRightInd w:val="0"/>
        <w:snapToGrid w:val="0"/>
        <w:spacing w:line="560" w:lineRule="exact"/>
        <w:ind w:firstLine="640" w:firstLineChars="200"/>
        <w:rPr>
          <w:rFonts w:hint="eastAsia" w:ascii="仿宋" w:hAnsi="仿宋" w:eastAsia="仿宋"/>
          <w:sz w:val="32"/>
          <w:szCs w:val="32"/>
          <w:lang w:val="en-US"/>
        </w:rPr>
      </w:pPr>
      <w:r>
        <w:rPr>
          <w:rFonts w:hint="eastAsia" w:ascii="仿宋" w:hAnsi="仿宋" w:eastAsia="仿宋"/>
          <w:sz w:val="32"/>
          <w:szCs w:val="32"/>
          <w:lang w:val="en-US"/>
        </w:rPr>
        <w:t>(一)宣传贯彻党中央关于"三农"工作的决策部署和省、市、县党委、政府工作要求，研究拟订全县供销社发展规划，负责全县供销合作事业的改革和发展工作。</w:t>
      </w:r>
    </w:p>
    <w:p w14:paraId="5BC905CC">
      <w:pPr>
        <w:adjustRightInd w:val="0"/>
        <w:snapToGrid w:val="0"/>
        <w:spacing w:line="560" w:lineRule="exact"/>
        <w:ind w:firstLine="640" w:firstLineChars="200"/>
        <w:rPr>
          <w:rFonts w:hint="eastAsia" w:ascii="仿宋" w:hAnsi="仿宋" w:eastAsia="仿宋"/>
          <w:sz w:val="32"/>
          <w:szCs w:val="32"/>
          <w:lang w:val="en-US"/>
        </w:rPr>
      </w:pPr>
      <w:r>
        <w:rPr>
          <w:rFonts w:hint="eastAsia" w:ascii="仿宋" w:hAnsi="仿宋" w:eastAsia="仿宋"/>
          <w:sz w:val="32"/>
          <w:szCs w:val="32"/>
          <w:lang w:val="en-US"/>
        </w:rPr>
        <w:t>(二)根据授权对重要农业生产资料、农副产品的经营进行组织、协调和管理，承担县政府委托的公益性服务和其他任务。</w:t>
      </w:r>
    </w:p>
    <w:p w14:paraId="3DAD5C1C">
      <w:pPr>
        <w:adjustRightInd w:val="0"/>
        <w:snapToGrid w:val="0"/>
        <w:spacing w:line="560" w:lineRule="exact"/>
        <w:ind w:firstLine="640" w:firstLineChars="200"/>
        <w:rPr>
          <w:rFonts w:hint="eastAsia" w:ascii="仿宋" w:hAnsi="仿宋" w:eastAsia="仿宋"/>
          <w:sz w:val="32"/>
          <w:szCs w:val="32"/>
          <w:lang w:val="en-US"/>
        </w:rPr>
      </w:pPr>
      <w:r>
        <w:rPr>
          <w:rFonts w:hint="eastAsia" w:ascii="仿宋" w:hAnsi="仿宋" w:eastAsia="仿宋"/>
          <w:sz w:val="32"/>
          <w:szCs w:val="32"/>
          <w:lang w:val="en-US"/>
        </w:rPr>
        <w:t>(三)推进供销社法治建设，研究提出促进农村经济社会和行业发展的意见建议，维护基层社的合法权益。</w:t>
      </w:r>
    </w:p>
    <w:p w14:paraId="566BDA73">
      <w:pPr>
        <w:adjustRightInd w:val="0"/>
        <w:snapToGrid w:val="0"/>
        <w:spacing w:line="560" w:lineRule="exact"/>
        <w:ind w:firstLine="640" w:firstLineChars="200"/>
        <w:rPr>
          <w:rFonts w:hint="eastAsia" w:ascii="仿宋" w:hAnsi="仿宋" w:eastAsia="仿宋"/>
          <w:sz w:val="32"/>
          <w:szCs w:val="32"/>
          <w:lang w:val="en-US"/>
        </w:rPr>
      </w:pPr>
      <w:r>
        <w:rPr>
          <w:rFonts w:hint="eastAsia" w:ascii="仿宋" w:hAnsi="仿宋" w:eastAsia="仿宋"/>
          <w:sz w:val="32"/>
          <w:szCs w:val="32"/>
          <w:lang w:val="en-US"/>
        </w:rPr>
        <w:t>(四)负责推进全县农村产权交易市场建设管理工作。</w:t>
      </w:r>
    </w:p>
    <w:p w14:paraId="36F1A412">
      <w:pPr>
        <w:adjustRightInd w:val="0"/>
        <w:snapToGrid w:val="0"/>
        <w:spacing w:line="560" w:lineRule="exact"/>
        <w:ind w:firstLine="640" w:firstLineChars="200"/>
        <w:rPr>
          <w:rFonts w:hint="eastAsia" w:ascii="仿宋" w:hAnsi="仿宋" w:eastAsia="仿宋"/>
          <w:sz w:val="32"/>
          <w:szCs w:val="32"/>
          <w:lang w:val="en-US"/>
        </w:rPr>
      </w:pPr>
      <w:r>
        <w:rPr>
          <w:rFonts w:hint="eastAsia" w:ascii="仿宋" w:hAnsi="仿宋" w:eastAsia="仿宋"/>
          <w:sz w:val="32"/>
          <w:szCs w:val="32"/>
          <w:lang w:val="en-US"/>
        </w:rPr>
        <w:t>(五)负责社有资产运营，履行社有资产监管职责，落实社有资产保值增值和安全责任。</w:t>
      </w:r>
    </w:p>
    <w:p w14:paraId="4E0392D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rPr>
        <w:t>(六)承办县委、县政府及市供销社交办的其他任务。</w:t>
      </w:r>
    </w:p>
    <w:p w14:paraId="051F08D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下属企业中，赵县农村产权交易中心、通社资产管理中心正常开展工作，盐业公司维持经营，烟花爆竹公司受限放政策影响停止经营，股份商场、外贸罐头厂、棉麻公司租赁经营，目前，现有下岗职工600多人。</w:t>
      </w:r>
    </w:p>
    <w:p w14:paraId="1D0FA062">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14:paraId="79ABBA5D">
      <w:pPr>
        <w:adjustRightInd w:val="0"/>
        <w:snapToGrid w:val="0"/>
        <w:spacing w:line="560" w:lineRule="exact"/>
        <w:ind w:firstLine="640" w:firstLineChars="200"/>
        <w:rPr>
          <w:rFonts w:ascii="楷体" w:hAnsi="楷体" w:eastAsia="楷体" w:cs="楷体_GB2312"/>
          <w:bCs/>
          <w:sz w:val="32"/>
          <w:szCs w:val="32"/>
        </w:rPr>
      </w:pPr>
      <w:r>
        <w:rPr>
          <w:rFonts w:ascii="仿宋" w:hAnsi="仿宋" w:eastAsia="仿宋"/>
          <w:sz w:val="32"/>
          <w:szCs w:val="32"/>
        </w:rPr>
        <w:t>2025</w:t>
      </w:r>
      <w:r>
        <w:rPr>
          <w:rFonts w:hint="eastAsia" w:ascii="仿宋" w:hAnsi="仿宋" w:eastAsia="仿宋"/>
          <w:sz w:val="32"/>
          <w:szCs w:val="32"/>
        </w:rPr>
        <w:t xml:space="preserve"> 年预算收入</w:t>
      </w:r>
      <w:r>
        <w:rPr>
          <w:rFonts w:hint="eastAsia" w:ascii="仿宋_GB2312" w:eastAsia="仿宋_GB2312" w:cs="Times New Roman"/>
          <w:color w:val="000000"/>
          <w:sz w:val="32"/>
          <w:szCs w:val="32"/>
          <w:lang w:bidi="ar-SA"/>
        </w:rPr>
        <w:t>376.99</w:t>
      </w:r>
      <w:r>
        <w:rPr>
          <w:rFonts w:ascii="仿宋" w:hAnsi="仿宋" w:eastAsia="仿宋"/>
          <w:sz w:val="32"/>
          <w:szCs w:val="32"/>
        </w:rPr>
        <w:t>万元</w:t>
      </w:r>
      <w:r>
        <w:rPr>
          <w:rFonts w:hint="eastAsia" w:ascii="仿宋" w:hAnsi="仿宋" w:eastAsia="仿宋"/>
          <w:sz w:val="32"/>
          <w:szCs w:val="32"/>
        </w:rPr>
        <w:t>，其中：基本支出</w:t>
      </w:r>
      <w:r>
        <w:rPr>
          <w:rFonts w:ascii="仿宋" w:hAnsi="仿宋" w:eastAsia="仿宋"/>
          <w:sz w:val="32"/>
          <w:szCs w:val="32"/>
        </w:rPr>
        <w:t>37.42万元</w:t>
      </w:r>
      <w:r>
        <w:rPr>
          <w:rFonts w:hint="eastAsia" w:ascii="仿宋" w:hAnsi="仿宋" w:eastAsia="仿宋"/>
          <w:sz w:val="32"/>
          <w:szCs w:val="32"/>
        </w:rPr>
        <w:t>，项目支出</w:t>
      </w:r>
      <w:r>
        <w:rPr>
          <w:rFonts w:ascii="仿宋" w:hAnsi="仿宋" w:eastAsia="仿宋"/>
          <w:sz w:val="32"/>
          <w:szCs w:val="32"/>
        </w:rPr>
        <w:t>339.57 万元</w:t>
      </w:r>
      <w:r>
        <w:rPr>
          <w:rFonts w:hint="eastAsia" w:ascii="仿宋" w:hAnsi="仿宋" w:eastAsia="仿宋"/>
          <w:sz w:val="32"/>
          <w:szCs w:val="32"/>
        </w:rPr>
        <w:t>；</w:t>
      </w:r>
      <w:r>
        <w:rPr>
          <w:rFonts w:ascii="仿宋" w:hAnsi="仿宋" w:eastAsia="仿宋"/>
          <w:sz w:val="32"/>
          <w:szCs w:val="32"/>
        </w:rPr>
        <w:t>2025</w:t>
      </w:r>
      <w:r>
        <w:rPr>
          <w:rFonts w:hint="eastAsia" w:ascii="仿宋" w:hAnsi="仿宋" w:eastAsia="仿宋"/>
          <w:sz w:val="32"/>
          <w:szCs w:val="32"/>
        </w:rPr>
        <w:t xml:space="preserve"> 年决算收入</w:t>
      </w:r>
      <w:r>
        <w:rPr>
          <w:rFonts w:ascii="仿宋" w:hAnsi="仿宋" w:eastAsia="仿宋"/>
          <w:sz w:val="32"/>
          <w:szCs w:val="32"/>
        </w:rPr>
        <w:t xml:space="preserve">376.99 </w:t>
      </w:r>
      <w:r>
        <w:rPr>
          <w:rFonts w:hint="eastAsia" w:ascii="仿宋" w:hAnsi="仿宋" w:eastAsia="仿宋"/>
          <w:sz w:val="32"/>
          <w:szCs w:val="32"/>
        </w:rPr>
        <w:t>万元，其中其他一般公共服务支出</w:t>
      </w:r>
      <w:r>
        <w:rPr>
          <w:rFonts w:ascii="仿宋" w:hAnsi="仿宋" w:eastAsia="仿宋"/>
          <w:sz w:val="32"/>
          <w:szCs w:val="32"/>
        </w:rPr>
        <w:t>9.36万元</w:t>
      </w:r>
      <w:r>
        <w:rPr>
          <w:rFonts w:hint="eastAsia" w:ascii="仿宋" w:hAnsi="仿宋" w:eastAsia="仿宋"/>
          <w:sz w:val="32"/>
          <w:szCs w:val="32"/>
        </w:rPr>
        <w:t>，事业单位离退休</w:t>
      </w:r>
      <w:r>
        <w:rPr>
          <w:rFonts w:ascii="仿宋" w:hAnsi="仿宋" w:eastAsia="仿宋"/>
          <w:sz w:val="32"/>
          <w:szCs w:val="32"/>
        </w:rPr>
        <w:t>25.87万</w:t>
      </w:r>
      <w:r>
        <w:rPr>
          <w:rFonts w:hint="eastAsia" w:ascii="仿宋" w:hAnsi="仿宋" w:eastAsia="仿宋"/>
          <w:sz w:val="32"/>
          <w:szCs w:val="32"/>
        </w:rPr>
        <w:t>元，机关事业单位基本养老保险缴费支出</w:t>
      </w:r>
      <w:r>
        <w:rPr>
          <w:rFonts w:ascii="仿宋" w:hAnsi="仿宋" w:eastAsia="仿宋"/>
          <w:sz w:val="32"/>
          <w:szCs w:val="32"/>
        </w:rPr>
        <w:t>0.42万</w:t>
      </w:r>
      <w:r>
        <w:rPr>
          <w:rFonts w:hint="eastAsia" w:ascii="仿宋" w:hAnsi="仿宋" w:eastAsia="仿宋"/>
          <w:sz w:val="32"/>
          <w:szCs w:val="32"/>
        </w:rPr>
        <w:t>元，其他就业补助支出</w:t>
      </w:r>
      <w:r>
        <w:rPr>
          <w:rFonts w:ascii="仿宋" w:hAnsi="仿宋" w:eastAsia="仿宋"/>
          <w:sz w:val="32"/>
          <w:szCs w:val="32"/>
        </w:rPr>
        <w:t>0.02万</w:t>
      </w:r>
      <w:r>
        <w:rPr>
          <w:rFonts w:hint="eastAsia" w:ascii="仿宋" w:hAnsi="仿宋" w:eastAsia="仿宋"/>
          <w:sz w:val="32"/>
          <w:szCs w:val="32"/>
        </w:rPr>
        <w:t>元，</w:t>
      </w:r>
      <w:r>
        <w:rPr>
          <w:rFonts w:ascii="仿宋" w:hAnsi="仿宋" w:eastAsia="仿宋"/>
          <w:sz w:val="32"/>
          <w:szCs w:val="32"/>
        </w:rPr>
        <w:t>死亡抚恤1.21万元，</w:t>
      </w:r>
      <w:r>
        <w:rPr>
          <w:rFonts w:hint="eastAsia" w:ascii="仿宋" w:hAnsi="仿宋" w:eastAsia="仿宋"/>
          <w:sz w:val="32"/>
          <w:szCs w:val="32"/>
        </w:rPr>
        <w:t>事业单位医疗</w:t>
      </w:r>
      <w:r>
        <w:rPr>
          <w:rFonts w:ascii="仿宋" w:hAnsi="仿宋" w:eastAsia="仿宋"/>
          <w:sz w:val="32"/>
          <w:szCs w:val="32"/>
        </w:rPr>
        <w:t>0.18万</w:t>
      </w:r>
      <w:r>
        <w:rPr>
          <w:rFonts w:hint="eastAsia" w:ascii="仿宋" w:hAnsi="仿宋" w:eastAsia="仿宋"/>
          <w:sz w:val="32"/>
          <w:szCs w:val="32"/>
        </w:rPr>
        <w:t>元</w:t>
      </w:r>
      <w:r>
        <w:rPr>
          <w:rFonts w:ascii="仿宋" w:hAnsi="仿宋" w:eastAsia="仿宋"/>
          <w:sz w:val="32"/>
          <w:szCs w:val="32"/>
        </w:rPr>
        <w:t>，</w:t>
      </w:r>
      <w:r>
        <w:rPr>
          <w:rFonts w:hint="eastAsia" w:ascii="仿宋" w:hAnsi="仿宋" w:eastAsia="仿宋"/>
          <w:sz w:val="32"/>
          <w:szCs w:val="32"/>
        </w:rPr>
        <w:t>住房公积金</w:t>
      </w:r>
      <w:r>
        <w:rPr>
          <w:rFonts w:ascii="仿宋" w:hAnsi="仿宋" w:eastAsia="仿宋"/>
          <w:sz w:val="32"/>
          <w:szCs w:val="32"/>
        </w:rPr>
        <w:t>0.36万</w:t>
      </w:r>
      <w:r>
        <w:rPr>
          <w:rFonts w:hint="eastAsia" w:ascii="仿宋" w:hAnsi="仿宋" w:eastAsia="仿宋"/>
          <w:sz w:val="32"/>
          <w:szCs w:val="32"/>
        </w:rPr>
        <w:t>元</w:t>
      </w:r>
      <w:r>
        <w:rPr>
          <w:rFonts w:ascii="仿宋" w:hAnsi="仿宋" w:eastAsia="仿宋"/>
          <w:sz w:val="32"/>
          <w:szCs w:val="32"/>
        </w:rPr>
        <w:t>，项目支出其他一般公共服务支出</w:t>
      </w:r>
      <w:r>
        <w:rPr>
          <w:rFonts w:ascii="仿宋" w:hAnsi="仿宋" w:eastAsia="仿宋"/>
          <w:sz w:val="32"/>
          <w:szCs w:val="32"/>
          <w:shd w:val="clear" w:color="auto" w:fill="auto"/>
        </w:rPr>
        <w:t>17.35</w:t>
      </w:r>
      <w:r>
        <w:rPr>
          <w:rFonts w:ascii="仿宋" w:hAnsi="仿宋" w:eastAsia="仿宋"/>
          <w:sz w:val="32"/>
          <w:szCs w:val="32"/>
        </w:rPr>
        <w:t>万元，农村合作经济162.5万元，农村社会事业159.72万元</w:t>
      </w:r>
      <w:r>
        <w:rPr>
          <w:rFonts w:hint="eastAsia" w:ascii="仿宋" w:hAnsi="仿宋" w:eastAsia="仿宋"/>
          <w:sz w:val="32"/>
          <w:szCs w:val="32"/>
        </w:rPr>
        <w:t>。</w:t>
      </w:r>
    </w:p>
    <w:p w14:paraId="39462276">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3D924215">
      <w:pPr>
        <w:adjustRightInd w:val="0"/>
        <w:snapToGrid w:val="0"/>
        <w:spacing w:line="560" w:lineRule="exact"/>
        <w:ind w:firstLine="640" w:firstLineChars="200"/>
        <w:rPr>
          <w:rFonts w:hint="eastAsia" w:ascii="仿宋" w:hAnsi="仿宋" w:eastAsia="仿宋"/>
          <w:bCs/>
          <w:sz w:val="32"/>
          <w:szCs w:val="32"/>
        </w:rPr>
      </w:pPr>
      <w:r>
        <w:rPr>
          <w:rFonts w:hint="eastAsia" w:ascii="仿宋" w:hAnsi="仿宋" w:eastAsia="仿宋"/>
          <w:bCs/>
          <w:sz w:val="32"/>
          <w:szCs w:val="32"/>
          <w:lang w:eastAsia="zh-CN"/>
        </w:rPr>
        <w:t>牢记为农服务根本宗旨，持续深化供销社综合改革，主动担当作为，推动供销合作社高质量发展，助力乡村振兴，各项工作有序推进。</w:t>
      </w:r>
      <w:r>
        <w:rPr>
          <w:rFonts w:hint="eastAsia" w:ascii="仿宋" w:hAnsi="仿宋" w:eastAsia="仿宋"/>
          <w:bCs/>
          <w:sz w:val="32"/>
          <w:szCs w:val="32"/>
          <w:lang w:val="en-US" w:eastAsia="zh-CN"/>
        </w:rPr>
        <w:t>确保单位的工作正常运转，必要的人员经费支出是保证单位运转、</w:t>
      </w:r>
      <w:r>
        <w:rPr>
          <w:rFonts w:hint="eastAsia" w:ascii="仿宋" w:hAnsi="仿宋" w:eastAsia="仿宋"/>
          <w:bCs/>
          <w:sz w:val="32"/>
          <w:szCs w:val="32"/>
        </w:rPr>
        <w:t>保障人员稳定、保持工作正常有序的进行、社会发展保障力。</w:t>
      </w:r>
    </w:p>
    <w:p w14:paraId="3B213BC1">
      <w:pPr>
        <w:adjustRightInd w:val="0"/>
        <w:snapToGrid w:val="0"/>
        <w:spacing w:line="560" w:lineRule="exact"/>
        <w:ind w:firstLine="640" w:firstLineChars="200"/>
        <w:rPr>
          <w:rFonts w:ascii="仿宋" w:hAnsi="仿宋" w:eastAsia="仿宋"/>
          <w:sz w:val="32"/>
          <w:szCs w:val="32"/>
        </w:rPr>
      </w:pPr>
    </w:p>
    <w:p w14:paraId="63E3C47E">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359F6870">
      <w:pPr>
        <w:numPr>
          <w:ilvl w:val="0"/>
          <w:numId w:val="2"/>
        </w:numPr>
        <w:adjustRightInd w:val="0"/>
        <w:snapToGrid w:val="0"/>
        <w:spacing w:beforeAutospacing="0" w:afterAutospacing="0" w:line="560" w:lineRule="exact"/>
        <w:ind w:left="0" w:firstLine="640" w:firstLineChars="200"/>
        <w:rPr>
          <w:rFonts w:ascii="仿宋" w:eastAsia="仿宋"/>
          <w:b w:val="0"/>
          <w:bCs w:val="0"/>
          <w:color w:val="000001"/>
          <w:sz w:val="32"/>
          <w:szCs w:val="32"/>
        </w:rPr>
      </w:pPr>
      <w:r>
        <w:rPr>
          <w:rFonts w:hint="eastAsia" w:ascii="楷体" w:eastAsia="楷体"/>
          <w:b w:val="0"/>
          <w:bCs w:val="0"/>
          <w:color w:val="000001"/>
          <w:sz w:val="32"/>
          <w:szCs w:val="32"/>
        </w:rPr>
        <w:t xml:space="preserve">自评的组织工作 </w:t>
      </w:r>
    </w:p>
    <w:p w14:paraId="0963F9A1">
      <w:pPr>
        <w:adjustRightInd w:val="0"/>
        <w:snapToGrid w:val="0"/>
        <w:spacing w:beforeAutospacing="0" w:afterAutospacing="0" w:line="560" w:lineRule="exact"/>
        <w:ind w:left="0" w:firstLine="640" w:firstLineChars="200"/>
        <w:rPr>
          <w:rFonts w:ascii="仿宋" w:eastAsia="仿宋"/>
          <w:b w:val="0"/>
          <w:bCs w:val="0"/>
          <w:color w:val="000001"/>
          <w:sz w:val="32"/>
          <w:szCs w:val="32"/>
        </w:rPr>
      </w:pPr>
      <w:r>
        <w:rPr>
          <w:rFonts w:hint="eastAsia" w:ascii="仿宋" w:hAnsi="仿宋" w:eastAsia="仿宋"/>
          <w:sz w:val="32"/>
          <w:szCs w:val="32"/>
        </w:rPr>
        <w:t>为切实做好绩效自评工作，我单位成立了绩效自评工作小组， 主管财务的副主任任组长，下设立专门绩效管理办公室，具体负责绩效评价的组织管理工作和实施工作。</w:t>
      </w:r>
      <w:r>
        <w:rPr>
          <w:rFonts w:hint="eastAsia" w:ascii="仿宋" w:eastAsia="仿宋"/>
          <w:b w:val="0"/>
          <w:bCs w:val="0"/>
          <w:color w:val="000001"/>
          <w:sz w:val="32"/>
          <w:szCs w:val="32"/>
        </w:rPr>
        <w:t xml:space="preserve"> </w:t>
      </w:r>
    </w:p>
    <w:p w14:paraId="6371E2B6">
      <w:pPr>
        <w:adjustRightInd w:val="0"/>
        <w:snapToGrid w:val="0"/>
        <w:spacing w:beforeAutospacing="0" w:afterAutospacing="0" w:line="560" w:lineRule="exact"/>
        <w:ind w:left="0" w:firstLine="640" w:firstLineChars="200"/>
        <w:rPr>
          <w:rFonts w:ascii="楷体" w:eastAsia="楷体"/>
          <w:b w:val="0"/>
          <w:bCs w:val="0"/>
          <w:color w:val="000001"/>
          <w:sz w:val="32"/>
          <w:szCs w:val="32"/>
        </w:rPr>
      </w:pPr>
      <w:r>
        <w:rPr>
          <w:rFonts w:hint="eastAsia" w:ascii="楷体" w:eastAsia="楷体"/>
          <w:b w:val="0"/>
          <w:bCs w:val="0"/>
          <w:color w:val="000001"/>
          <w:sz w:val="32"/>
          <w:szCs w:val="32"/>
        </w:rPr>
        <w:t>（二）自评的方法和过程</w:t>
      </w:r>
    </w:p>
    <w:p w14:paraId="1E93ECD1">
      <w:pPr>
        <w:adjustRightInd w:val="0"/>
        <w:snapToGrid w:val="0"/>
        <w:spacing w:line="560" w:lineRule="exact"/>
        <w:ind w:left="0" w:firstLine="640" w:firstLineChars="200"/>
        <w:rPr>
          <w:rFonts w:ascii="仿宋" w:hAnsi="仿宋" w:eastAsia="仿宋"/>
          <w:sz w:val="32"/>
          <w:szCs w:val="32"/>
        </w:rPr>
      </w:pPr>
      <w:r>
        <w:rPr>
          <w:rFonts w:hint="eastAsia" w:ascii="仿宋" w:hAnsi="仿宋" w:eastAsia="仿宋"/>
          <w:sz w:val="32"/>
          <w:szCs w:val="32"/>
        </w:rPr>
        <w:t>自评方法绩效自评遵循“问题导向、突出重点、科学规范、公平公正”的原则，为保障评价工作的顺利进行，领导小组制定评价工作方案，完善了评价工作程序，按照前期准备、</w:t>
      </w:r>
      <w:r>
        <w:rPr>
          <w:rFonts w:hint="eastAsia" w:ascii="仿宋" w:hAnsi="仿宋" w:eastAsia="仿宋"/>
          <w:sz w:val="32"/>
          <w:szCs w:val="32"/>
          <w:lang w:eastAsia="zh-CN"/>
        </w:rPr>
        <w:t>组织实施</w:t>
      </w:r>
      <w:r>
        <w:rPr>
          <w:rFonts w:hint="eastAsia" w:ascii="仿宋" w:hAnsi="仿宋" w:eastAsia="仿宋"/>
          <w:sz w:val="32"/>
          <w:szCs w:val="32"/>
        </w:rPr>
        <w:t>、形成报告</w:t>
      </w:r>
      <w:r>
        <w:rPr>
          <w:rFonts w:hint="eastAsia" w:ascii="仿宋" w:hAnsi="仿宋" w:eastAsia="仿宋"/>
          <w:sz w:val="32"/>
          <w:szCs w:val="32"/>
          <w:lang w:eastAsia="zh-CN"/>
        </w:rPr>
        <w:t>三</w:t>
      </w:r>
      <w:r>
        <w:rPr>
          <w:rFonts w:hint="eastAsia" w:ascii="仿宋" w:hAnsi="仿宋" w:eastAsia="仿宋"/>
          <w:sz w:val="32"/>
          <w:szCs w:val="32"/>
        </w:rPr>
        <w:t>个阶段</w:t>
      </w:r>
      <w:r>
        <w:rPr>
          <w:rFonts w:hint="eastAsia" w:ascii="仿宋" w:hAnsi="仿宋" w:eastAsia="仿宋"/>
          <w:sz w:val="32"/>
          <w:szCs w:val="32"/>
          <w:lang w:eastAsia="zh-CN"/>
        </w:rPr>
        <w:t>开展绩效</w:t>
      </w:r>
      <w:r>
        <w:rPr>
          <w:rFonts w:hint="eastAsia" w:ascii="仿宋" w:hAnsi="仿宋" w:eastAsia="仿宋"/>
          <w:sz w:val="32"/>
          <w:szCs w:val="32"/>
        </w:rPr>
        <w:t>评价工作，</w:t>
      </w:r>
      <w:r>
        <w:rPr>
          <w:rFonts w:hint="eastAsia" w:ascii="仿宋" w:hAnsi="仿宋" w:eastAsia="仿宋"/>
          <w:sz w:val="32"/>
          <w:szCs w:val="32"/>
          <w:lang w:eastAsia="zh-CN"/>
        </w:rPr>
        <w:t>认真对年度绩效指标完成情况的各项指标进行评价打分，</w:t>
      </w:r>
      <w:r>
        <w:rPr>
          <w:rFonts w:hint="eastAsia" w:ascii="仿宋" w:hAnsi="仿宋" w:eastAsia="仿宋"/>
          <w:sz w:val="32"/>
          <w:szCs w:val="32"/>
        </w:rPr>
        <w:t>如期完成</w:t>
      </w:r>
      <w:r>
        <w:rPr>
          <w:rFonts w:hint="eastAsia" w:ascii="仿宋" w:hAnsi="仿宋" w:eastAsia="仿宋"/>
          <w:sz w:val="32"/>
          <w:szCs w:val="32"/>
          <w:lang w:eastAsia="zh-CN"/>
        </w:rPr>
        <w:t>绩效自评报告</w:t>
      </w:r>
      <w:r>
        <w:rPr>
          <w:rFonts w:hint="eastAsia" w:ascii="仿宋" w:hAnsi="仿宋" w:eastAsia="仿宋"/>
          <w:sz w:val="32"/>
          <w:szCs w:val="32"/>
        </w:rPr>
        <w:t>。</w:t>
      </w:r>
      <w:r>
        <w:rPr>
          <w:rFonts w:hint="eastAsia" w:ascii="仿宋" w:hAnsi="仿宋" w:eastAsia="仿宋"/>
          <w:bCs/>
          <w:sz w:val="32"/>
          <w:szCs w:val="32"/>
        </w:rPr>
        <w:t xml:space="preserve"> </w:t>
      </w:r>
      <w:r>
        <w:rPr>
          <w:rFonts w:hint="eastAsia" w:ascii="仿宋" w:hAnsi="仿宋" w:eastAsia="仿宋"/>
          <w:sz w:val="32"/>
          <w:szCs w:val="32"/>
        </w:rPr>
        <w:t xml:space="preserve">   </w:t>
      </w:r>
    </w:p>
    <w:p w14:paraId="09E4D572">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73DDFBE2">
      <w:pPr>
        <w:numPr>
          <w:ilvl w:val="0"/>
          <w:numId w:val="3"/>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6577204E">
      <w:pPr>
        <w:adjustRightInd w:val="0"/>
        <w:snapToGrid w:val="0"/>
        <w:spacing w:line="560" w:lineRule="exact"/>
        <w:ind w:left="0" w:firstLine="640" w:firstLineChars="200"/>
        <w:rPr>
          <w:rFonts w:ascii="仿宋" w:hAnsi="仿宋" w:eastAsia="仿宋"/>
          <w:sz w:val="32"/>
          <w:szCs w:val="32"/>
        </w:rPr>
      </w:pPr>
      <w:r>
        <w:rPr>
          <w:rFonts w:hint="eastAsia" w:ascii="仿宋" w:hAnsi="仿宋" w:eastAsia="仿宋"/>
          <w:sz w:val="32"/>
          <w:szCs w:val="32"/>
          <w:lang w:val="en-US" w:eastAsia="zh-CN"/>
        </w:rPr>
        <w:t>县社在县委、县政府的坚强领导下，</w:t>
      </w:r>
      <w:r>
        <w:rPr>
          <w:rFonts w:hint="eastAsia" w:ascii="仿宋" w:hAnsi="仿宋" w:eastAsia="仿宋"/>
          <w:sz w:val="32"/>
          <w:szCs w:val="32"/>
          <w:lang w:eastAsia="zh-CN"/>
        </w:rPr>
        <w:t>牢记为农服务根本宗旨，持续深化供销社综合改革，主动担当作为，推动供销合作社高质量发展，助力乡村振兴，各项工作有序推进</w:t>
      </w:r>
      <w:r>
        <w:rPr>
          <w:rFonts w:hint="eastAsia" w:ascii="仿宋" w:hAnsi="仿宋" w:eastAsia="仿宋"/>
          <w:sz w:val="32"/>
          <w:szCs w:val="32"/>
          <w:lang w:val="en-US" w:eastAsia="zh-CN"/>
        </w:rPr>
        <w:t>。</w:t>
      </w:r>
    </w:p>
    <w:p w14:paraId="4971DC5E">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287C2086">
      <w:pPr>
        <w:keepNext w:val="0"/>
        <w:keepLines w:val="0"/>
        <w:pageBreakBefore w:val="0"/>
        <w:widowControl w:val="0"/>
        <w:kinsoku/>
        <w:wordWrap/>
        <w:overflowPunct/>
        <w:topLinePunct w:val="0"/>
        <w:autoSpaceDE/>
        <w:autoSpaceDN/>
        <w:adjustRightInd/>
        <w:snapToGrid/>
        <w:spacing w:line="560" w:lineRule="exact"/>
        <w:ind w:firstLine="960" w:firstLineChars="300"/>
        <w:rPr>
          <w:rFonts w:hint="eastAsia" w:ascii="楷体" w:hAnsi="楷体" w:eastAsia="楷体" w:cs="楷体"/>
          <w:bCs/>
          <w:sz w:val="32"/>
          <w:szCs w:val="32"/>
          <w:lang w:val="en-US" w:eastAsia="zh-CN"/>
        </w:rPr>
      </w:pPr>
      <w:r>
        <w:rPr>
          <w:rFonts w:hint="eastAsia" w:ascii="楷体" w:hAnsi="楷体" w:eastAsia="楷体" w:cs="楷体"/>
          <w:bCs/>
          <w:sz w:val="32"/>
          <w:szCs w:val="32"/>
          <w:lang w:val="en-US" w:eastAsia="zh-CN"/>
        </w:rPr>
        <w:t>（一）农业社会化服务成效显著</w:t>
      </w:r>
    </w:p>
    <w:p w14:paraId="2224D5F1">
      <w:pPr>
        <w:keepNext w:val="0"/>
        <w:keepLines w:val="0"/>
        <w:pageBreakBefore w:val="0"/>
        <w:widowControl w:val="0"/>
        <w:kinsoku/>
        <w:wordWrap/>
        <w:overflowPunct/>
        <w:topLinePunct w:val="0"/>
        <w:autoSpaceDE/>
        <w:autoSpaceDN/>
        <w:adjustRightInd/>
        <w:snapToGrid/>
        <w:spacing w:line="560" w:lineRule="exact"/>
        <w:ind w:firstLine="640" w:firstLineChars="200"/>
        <w:rPr>
          <w:rFonts w:hint="eastAsia" w:ascii="仿宋" w:hAnsi="仿宋" w:eastAsia="仿宋" w:cs="仿宋"/>
          <w:bCs/>
          <w:sz w:val="32"/>
          <w:szCs w:val="32"/>
          <w:lang w:val="en-US" w:eastAsia="zh-CN"/>
        </w:rPr>
      </w:pPr>
      <w:r>
        <w:rPr>
          <w:rFonts w:hint="eastAsia" w:ascii="仿宋" w:hAnsi="仿宋" w:eastAsia="仿宋" w:cs="仿宋"/>
          <w:bCs/>
          <w:sz w:val="32"/>
          <w:szCs w:val="32"/>
          <w:lang w:val="en-US" w:eastAsia="zh-CN"/>
        </w:rPr>
        <w:t xml:space="preserve">1.积极争取 2025 年中央财政支持供销合作社开展农业社会化服务试点项目资金 300 万元，绩效任务面积 4 万亩，主要在北王里镇、沙河店镇、新寨店镇、韩村镇 25 个村对小麦、玉米粮食作物开展机防、机收、机耕等农业社会化服务。完成玉米一喷多效作业面积 5.46 万亩，完成玉米收割 5.67 万亩，小麦旋耕11.24 万亩。同时，积极推广 “供销社 + 村集体 + 农户” 模式，为农户提供耕、种、管等全程社会化服务，2025年累计服务面积 5.7 万亩，服务农户 8500 户。  </w:t>
      </w:r>
    </w:p>
    <w:p w14:paraId="60909DC5">
      <w:pPr>
        <w:keepNext w:val="0"/>
        <w:keepLines w:val="0"/>
        <w:pageBreakBefore w:val="0"/>
        <w:widowControl w:val="0"/>
        <w:kinsoku/>
        <w:wordWrap/>
        <w:overflowPunct/>
        <w:topLinePunct w:val="0"/>
        <w:autoSpaceDE/>
        <w:autoSpaceDN/>
        <w:adjustRightInd/>
        <w:snapToGrid/>
        <w:spacing w:line="560" w:lineRule="exact"/>
        <w:ind w:firstLine="640" w:firstLineChars="200"/>
        <w:rPr>
          <w:rFonts w:hint="eastAsia" w:ascii="仿宋" w:hAnsi="仿宋" w:eastAsia="仿宋" w:cs="仿宋"/>
          <w:bCs/>
          <w:sz w:val="32"/>
          <w:szCs w:val="32"/>
          <w:lang w:val="en-US" w:eastAsia="zh-CN"/>
        </w:rPr>
      </w:pPr>
      <w:r>
        <w:rPr>
          <w:rFonts w:hint="eastAsia" w:ascii="仿宋" w:hAnsi="仿宋" w:eastAsia="仿宋" w:cs="仿宋"/>
          <w:bCs/>
          <w:sz w:val="32"/>
          <w:szCs w:val="32"/>
          <w:lang w:val="en-US" w:eastAsia="zh-CN"/>
        </w:rPr>
        <w:t>2.农资保供稳价工作扎实推进，充分发挥农资供应主渠道作用，全力做好春耕备耕、夏收夏种、秋收秋种等工作，加大农资采购储备力度，今年全系统累计供应各类化肥 3800 吨，其中复合肥2000吨、尿素 1000 吨、二铵600 吨，其他肥料 200 吨，有效满足了农业生产需求。</w:t>
      </w:r>
    </w:p>
    <w:p w14:paraId="6C3A353A">
      <w:pPr>
        <w:keepNext w:val="0"/>
        <w:keepLines w:val="0"/>
        <w:pageBreakBefore w:val="0"/>
        <w:widowControl w:val="0"/>
        <w:kinsoku/>
        <w:wordWrap/>
        <w:overflowPunct/>
        <w:topLinePunct w:val="0"/>
        <w:autoSpaceDE/>
        <w:autoSpaceDN/>
        <w:adjustRightInd/>
        <w:snapToGrid/>
        <w:spacing w:line="560" w:lineRule="exact"/>
        <w:ind w:firstLine="640" w:firstLineChars="200"/>
        <w:rPr>
          <w:rFonts w:hint="eastAsia" w:ascii="仿宋" w:hAnsi="仿宋" w:eastAsia="仿宋" w:cs="仿宋"/>
          <w:bCs/>
          <w:sz w:val="32"/>
          <w:szCs w:val="32"/>
          <w:lang w:val="en-US" w:eastAsia="zh-CN"/>
        </w:rPr>
      </w:pPr>
      <w:r>
        <w:rPr>
          <w:rFonts w:hint="eastAsia" w:ascii="楷体" w:hAnsi="楷体" w:eastAsia="楷体" w:cs="楷体"/>
          <w:bCs/>
          <w:sz w:val="32"/>
          <w:szCs w:val="32"/>
          <w:lang w:val="en-US" w:eastAsia="zh-CN"/>
        </w:rPr>
        <w:t>（二）农村产权交易市场规范发展</w:t>
      </w:r>
    </w:p>
    <w:p w14:paraId="2C0DB0E8">
      <w:pPr>
        <w:keepNext w:val="0"/>
        <w:keepLines w:val="0"/>
        <w:pageBreakBefore w:val="0"/>
        <w:widowControl w:val="0"/>
        <w:kinsoku/>
        <w:wordWrap/>
        <w:overflowPunct/>
        <w:topLinePunct w:val="0"/>
        <w:autoSpaceDE/>
        <w:autoSpaceDN/>
        <w:adjustRightInd/>
        <w:snapToGrid/>
        <w:spacing w:line="560" w:lineRule="exact"/>
        <w:ind w:firstLine="640" w:firstLineChars="200"/>
        <w:rPr>
          <w:rFonts w:hint="eastAsia" w:ascii="仿宋" w:hAnsi="仿宋" w:eastAsia="仿宋" w:cs="仿宋"/>
          <w:bCs/>
          <w:sz w:val="32"/>
          <w:szCs w:val="32"/>
          <w:lang w:val="en-US" w:eastAsia="zh-CN"/>
        </w:rPr>
      </w:pPr>
      <w:r>
        <w:rPr>
          <w:rFonts w:hint="eastAsia" w:ascii="仿宋" w:hAnsi="仿宋" w:eastAsia="仿宋" w:cs="仿宋"/>
          <w:bCs/>
          <w:sz w:val="32"/>
          <w:szCs w:val="32"/>
          <w:lang w:val="en-US" w:eastAsia="zh-CN"/>
        </w:rPr>
        <w:t>牵头协调农业农村、巡察等部门，完善交易体系，优化交易流程，2025 年完成交易 221 笔，交易金额 6500.74 万元，为村集体增收 176.46 万元，节支 23.06 万元；联合开展专项培训 1 次，提升从业人员业务水平。</w:t>
      </w:r>
    </w:p>
    <w:p w14:paraId="16988325">
      <w:pPr>
        <w:keepNext w:val="0"/>
        <w:keepLines w:val="0"/>
        <w:pageBreakBefore w:val="0"/>
        <w:widowControl w:val="0"/>
        <w:kinsoku/>
        <w:wordWrap/>
        <w:overflowPunct/>
        <w:topLinePunct w:val="0"/>
        <w:autoSpaceDE/>
        <w:autoSpaceDN/>
        <w:adjustRightInd/>
        <w:snapToGrid/>
        <w:spacing w:line="560" w:lineRule="exact"/>
        <w:ind w:firstLine="640" w:firstLineChars="200"/>
        <w:rPr>
          <w:rFonts w:hint="eastAsia" w:ascii="楷体" w:hAnsi="楷体" w:eastAsia="楷体" w:cs="楷体"/>
          <w:bCs/>
          <w:sz w:val="32"/>
          <w:szCs w:val="32"/>
          <w:lang w:val="en-US" w:eastAsia="zh-CN"/>
        </w:rPr>
      </w:pPr>
      <w:r>
        <w:rPr>
          <w:rFonts w:hint="eastAsia" w:ascii="楷体" w:hAnsi="楷体" w:eastAsia="楷体" w:cs="楷体"/>
          <w:bCs/>
          <w:sz w:val="32"/>
          <w:szCs w:val="32"/>
          <w:lang w:val="en-US" w:eastAsia="zh-CN"/>
        </w:rPr>
        <w:t>（三）再生资源回收体系建设稳步推进</w:t>
      </w:r>
    </w:p>
    <w:p w14:paraId="7CBC4762">
      <w:pPr>
        <w:keepNext w:val="0"/>
        <w:keepLines w:val="0"/>
        <w:pageBreakBefore w:val="0"/>
        <w:widowControl w:val="0"/>
        <w:kinsoku/>
        <w:wordWrap/>
        <w:overflowPunct/>
        <w:topLinePunct w:val="0"/>
        <w:autoSpaceDE/>
        <w:autoSpaceDN/>
        <w:adjustRightInd/>
        <w:snapToGrid/>
        <w:spacing w:line="560" w:lineRule="exact"/>
        <w:ind w:firstLine="640" w:firstLineChars="200"/>
        <w:rPr>
          <w:rFonts w:hint="eastAsia" w:ascii="仿宋" w:hAnsi="仿宋" w:eastAsia="仿宋" w:cs="仿宋"/>
          <w:bCs/>
          <w:sz w:val="32"/>
          <w:szCs w:val="32"/>
          <w:lang w:val="en-US" w:eastAsia="zh-CN"/>
        </w:rPr>
      </w:pPr>
      <w:r>
        <w:rPr>
          <w:rFonts w:hint="eastAsia" w:ascii="仿宋" w:hAnsi="仿宋" w:eastAsia="仿宋" w:cs="仿宋"/>
          <w:bCs/>
          <w:sz w:val="32"/>
          <w:szCs w:val="32"/>
          <w:lang w:val="en-US" w:eastAsia="zh-CN"/>
        </w:rPr>
        <w:t>组织市场监管、消防等部门开展联合检查 40 余次，规范提升回收站点 46 个，推荐 2 家企业列入市级回收名录库，完成 1 家锂电池回收网点试点改造，推动行业规范发展。</w:t>
      </w:r>
    </w:p>
    <w:p w14:paraId="02600C8B">
      <w:pPr>
        <w:keepNext w:val="0"/>
        <w:keepLines w:val="0"/>
        <w:pageBreakBefore w:val="0"/>
        <w:widowControl w:val="0"/>
        <w:kinsoku/>
        <w:wordWrap/>
        <w:overflowPunct/>
        <w:topLinePunct w:val="0"/>
        <w:autoSpaceDE/>
        <w:autoSpaceDN/>
        <w:adjustRightInd/>
        <w:snapToGrid/>
        <w:spacing w:line="560" w:lineRule="exact"/>
        <w:ind w:firstLine="640" w:firstLineChars="200"/>
        <w:rPr>
          <w:rFonts w:hint="eastAsia" w:ascii="楷体" w:hAnsi="楷体" w:eastAsia="楷体" w:cs="楷体"/>
          <w:bCs/>
          <w:sz w:val="32"/>
          <w:szCs w:val="32"/>
          <w:lang w:val="en-US" w:eastAsia="zh-CN"/>
        </w:rPr>
      </w:pPr>
      <w:r>
        <w:rPr>
          <w:rFonts w:hint="eastAsia" w:ascii="楷体" w:hAnsi="楷体" w:eastAsia="楷体" w:cs="楷体"/>
          <w:bCs/>
          <w:sz w:val="32"/>
          <w:szCs w:val="32"/>
          <w:lang w:val="en-US" w:eastAsia="zh-CN"/>
        </w:rPr>
        <w:t>（四）安全生产与信访维稳工作扎实有效</w:t>
      </w:r>
    </w:p>
    <w:p w14:paraId="24F4DE83">
      <w:pPr>
        <w:keepNext w:val="0"/>
        <w:keepLines w:val="0"/>
        <w:pageBreakBefore w:val="0"/>
        <w:widowControl w:val="0"/>
        <w:kinsoku/>
        <w:wordWrap/>
        <w:overflowPunct/>
        <w:topLinePunct w:val="0"/>
        <w:autoSpaceDE/>
        <w:autoSpaceDN/>
        <w:adjustRightInd/>
        <w:snapToGrid/>
        <w:spacing w:line="560" w:lineRule="exact"/>
        <w:ind w:firstLine="640" w:firstLineChars="200"/>
        <w:rPr>
          <w:rFonts w:hint="eastAsia" w:ascii="仿宋" w:hAnsi="仿宋" w:eastAsia="仿宋" w:cs="仿宋"/>
          <w:bCs/>
          <w:sz w:val="32"/>
          <w:szCs w:val="32"/>
          <w:lang w:val="en-US" w:eastAsia="zh-CN"/>
        </w:rPr>
      </w:pPr>
      <w:r>
        <w:rPr>
          <w:rFonts w:hint="eastAsia" w:ascii="仿宋" w:hAnsi="仿宋" w:eastAsia="仿宋" w:cs="仿宋"/>
          <w:bCs/>
          <w:sz w:val="32"/>
          <w:szCs w:val="32"/>
          <w:lang w:val="en-US" w:eastAsia="zh-CN"/>
        </w:rPr>
        <w:t>一是2025年组织常态化安全生产检查 30 余次，出动 100 余人次、30 多车次，排查整改安全隐患 7 处，整改率 100%。重点加强租赁企业、超市等场所安全监管，组织开展安全宣传教育 2 次，系统内安全生产形势持续稳定。</w:t>
      </w:r>
    </w:p>
    <w:p w14:paraId="642E9F28">
      <w:pPr>
        <w:keepNext w:val="0"/>
        <w:keepLines w:val="0"/>
        <w:pageBreakBefore w:val="0"/>
        <w:widowControl w:val="0"/>
        <w:kinsoku/>
        <w:wordWrap/>
        <w:overflowPunct/>
        <w:topLinePunct w:val="0"/>
        <w:autoSpaceDE/>
        <w:autoSpaceDN/>
        <w:adjustRightInd/>
        <w:snapToGrid/>
        <w:spacing w:line="560" w:lineRule="exact"/>
        <w:ind w:firstLine="640" w:firstLineChars="200"/>
        <w:rPr>
          <w:rFonts w:hint="eastAsia" w:ascii="仿宋" w:hAnsi="仿宋" w:eastAsia="仿宋" w:cs="仿宋"/>
          <w:bCs/>
          <w:sz w:val="32"/>
          <w:szCs w:val="32"/>
          <w:lang w:val="en-US" w:eastAsia="zh-CN"/>
        </w:rPr>
      </w:pPr>
      <w:r>
        <w:rPr>
          <w:rFonts w:hint="eastAsia" w:ascii="仿宋" w:hAnsi="仿宋" w:eastAsia="仿宋" w:cs="仿宋"/>
          <w:bCs/>
          <w:sz w:val="32"/>
          <w:szCs w:val="32"/>
          <w:lang w:val="en-US" w:eastAsia="zh-CN"/>
        </w:rPr>
        <w:t>二是坚持底线思维，建立信访隐患排查调处机制，2025年内部接访 30 余人次，妥善解决职工补费审批等问题，为 20 名职工办理相关手续，未发生重大信访事件，维护了系统和谐稳定。</w:t>
      </w:r>
    </w:p>
    <w:p w14:paraId="4FEC3CEE">
      <w:pPr>
        <w:keepNext w:val="0"/>
        <w:keepLines w:val="0"/>
        <w:pageBreakBefore w:val="0"/>
        <w:widowControl w:val="0"/>
        <w:kinsoku/>
        <w:wordWrap/>
        <w:overflowPunct/>
        <w:topLinePunct w:val="0"/>
        <w:autoSpaceDE/>
        <w:autoSpaceDN/>
        <w:adjustRightInd/>
        <w:snapToGrid/>
        <w:spacing w:line="560" w:lineRule="exact"/>
        <w:ind w:firstLine="640" w:firstLineChars="200"/>
        <w:rPr>
          <w:rFonts w:ascii="楷体" w:hAnsi="楷体" w:eastAsia="楷体" w:cs="楷体"/>
          <w:bCs/>
          <w:sz w:val="32"/>
          <w:szCs w:val="32"/>
        </w:rPr>
      </w:pPr>
      <w:r>
        <w:rPr>
          <w:rFonts w:hint="eastAsia" w:ascii="楷体" w:hAnsi="楷体" w:eastAsia="楷体" w:cs="楷体"/>
          <w:bCs/>
          <w:sz w:val="32"/>
          <w:szCs w:val="32"/>
        </w:rPr>
        <w:t>（五）拓展农产品销售</w:t>
      </w:r>
    </w:p>
    <w:p w14:paraId="12517E19">
      <w:pPr>
        <w:spacing w:line="560" w:lineRule="exact"/>
        <w:ind w:firstLine="800" w:firstLineChars="250"/>
        <w:rPr>
          <w:rFonts w:ascii="仿宋" w:hAnsi="仿宋" w:eastAsia="仿宋"/>
          <w:sz w:val="32"/>
          <w:szCs w:val="32"/>
        </w:rPr>
      </w:pPr>
      <w:r>
        <w:rPr>
          <w:rFonts w:hint="eastAsia" w:ascii="仿宋" w:hAnsi="仿宋" w:eastAsia="仿宋" w:cs="仿宋"/>
          <w:bCs/>
          <w:sz w:val="32"/>
          <w:szCs w:val="32"/>
        </w:rPr>
        <w:t>积极与省市社问计对接，把赵县农特产品向上推荐，利用省市线上平台及线下实体店充分把赵县梨果、梨汁、小吊梨汤等产品向外推荐</w:t>
      </w:r>
      <w:r>
        <w:rPr>
          <w:rFonts w:hint="eastAsia" w:ascii="仿宋" w:hAnsi="仿宋" w:eastAsia="仿宋" w:cs="仿宋"/>
          <w:bCs/>
          <w:sz w:val="32"/>
          <w:szCs w:val="32"/>
          <w:lang w:val="en-US" w:eastAsia="zh-CN"/>
        </w:rPr>
        <w:t>,</w:t>
      </w:r>
      <w:r>
        <w:rPr>
          <w:rFonts w:hint="eastAsia" w:ascii="仿宋" w:eastAsia="仿宋"/>
          <w:sz w:val="32"/>
          <w:szCs w:val="32"/>
        </w:rPr>
        <w:t>提升了</w:t>
      </w:r>
      <w:r>
        <w:rPr>
          <w:rFonts w:ascii="仿宋" w:eastAsia="仿宋"/>
          <w:sz w:val="32"/>
          <w:szCs w:val="32"/>
        </w:rPr>
        <w:t>我县农</w:t>
      </w:r>
      <w:r>
        <w:rPr>
          <w:rFonts w:hint="eastAsia" w:ascii="仿宋" w:eastAsia="仿宋"/>
          <w:sz w:val="32"/>
          <w:szCs w:val="32"/>
        </w:rPr>
        <w:t>产品知名度</w:t>
      </w:r>
      <w:r>
        <w:rPr>
          <w:rFonts w:ascii="仿宋" w:eastAsia="仿宋"/>
          <w:sz w:val="32"/>
          <w:szCs w:val="32"/>
        </w:rPr>
        <w:t>和影响力</w:t>
      </w:r>
      <w:r>
        <w:rPr>
          <w:rFonts w:hint="eastAsia" w:ascii="仿宋" w:hAnsi="仿宋" w:eastAsia="仿宋" w:cs="仿宋"/>
          <w:bCs/>
          <w:sz w:val="32"/>
          <w:szCs w:val="32"/>
        </w:rPr>
        <w:t>。</w:t>
      </w:r>
    </w:p>
    <w:p w14:paraId="3E055E0F">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6EB9B1C9">
      <w:pPr>
        <w:pStyle w:val="8"/>
        <w:keepNext w:val="0"/>
        <w:keepLines w:val="0"/>
        <w:pageBreakBefore w:val="0"/>
        <w:widowControl w:val="0"/>
        <w:kinsoku/>
        <w:wordWrap/>
        <w:overflowPunct/>
        <w:topLinePunct w:val="0"/>
        <w:autoSpaceDE/>
        <w:autoSpaceDN/>
        <w:adjustRightInd/>
        <w:snapToGrid/>
        <w:spacing w:line="600" w:lineRule="exact"/>
        <w:rPr>
          <w:rFonts w:ascii="仿宋" w:hAnsi="仿宋" w:eastAsia="仿宋"/>
          <w:sz w:val="32"/>
          <w:szCs w:val="32"/>
        </w:rPr>
      </w:pPr>
      <w:r>
        <w:rPr>
          <w:rFonts w:hint="eastAsia" w:ascii="仿宋" w:hAnsi="仿宋" w:eastAsia="仿宋"/>
          <w:bCs/>
          <w:sz w:val="32"/>
          <w:szCs w:val="32"/>
        </w:rPr>
        <w:t>参与本次评价的项目共计</w:t>
      </w:r>
      <w:r>
        <w:rPr>
          <w:rFonts w:hint="eastAsia" w:ascii="仿宋" w:hAnsi="仿宋" w:eastAsia="仿宋"/>
          <w:bCs/>
          <w:sz w:val="32"/>
          <w:szCs w:val="32"/>
          <w:lang w:val="en-US"/>
        </w:rPr>
        <w:t>3</w:t>
      </w:r>
      <w:r>
        <w:rPr>
          <w:rFonts w:hint="eastAsia" w:ascii="仿宋" w:hAnsi="仿宋" w:eastAsia="仿宋"/>
          <w:bCs/>
          <w:sz w:val="32"/>
          <w:szCs w:val="32"/>
        </w:rPr>
        <w:t>个，</w:t>
      </w:r>
      <w:r>
        <w:rPr>
          <w:rFonts w:hint="eastAsia" w:ascii="仿宋" w:hAnsi="仿宋" w:eastAsia="仿宋"/>
          <w:bCs/>
          <w:sz w:val="32"/>
          <w:szCs w:val="32"/>
          <w:lang w:val="en-US"/>
        </w:rPr>
        <w:t>3</w:t>
      </w:r>
      <w:r>
        <w:rPr>
          <w:rFonts w:hint="eastAsia" w:ascii="仿宋" w:hAnsi="仿宋" w:eastAsia="仿宋"/>
          <w:bCs/>
          <w:sz w:val="32"/>
          <w:szCs w:val="32"/>
        </w:rPr>
        <w:t>个项目中其中</w:t>
      </w:r>
      <w:r>
        <w:rPr>
          <w:rFonts w:ascii="仿宋" w:hAnsi="仿宋" w:eastAsia="仿宋"/>
          <w:bCs/>
          <w:sz w:val="32"/>
          <w:szCs w:val="32"/>
        </w:rPr>
        <w:t>3</w:t>
      </w:r>
      <w:r>
        <w:rPr>
          <w:rFonts w:hint="eastAsia" w:ascii="仿宋" w:hAnsi="仿宋" w:eastAsia="仿宋"/>
          <w:bCs/>
          <w:sz w:val="32"/>
          <w:szCs w:val="32"/>
        </w:rPr>
        <w:t>个评价等级均为“优秀”。</w:t>
      </w:r>
    </w:p>
    <w:p w14:paraId="480D19B1">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33C6EC6E">
      <w:pPr>
        <w:numPr>
          <w:ilvl w:val="0"/>
          <w:numId w:val="4"/>
        </w:numPr>
        <w:spacing w:line="560" w:lineRule="exact"/>
        <w:ind w:left="0" w:firstLine="640" w:firstLineChars="200"/>
        <w:rPr>
          <w:rFonts w:ascii="楷体" w:hAnsi="楷体" w:eastAsia="楷体"/>
          <w:bCs/>
          <w:sz w:val="32"/>
          <w:szCs w:val="32"/>
        </w:rPr>
      </w:pPr>
      <w:r>
        <w:rPr>
          <w:rFonts w:hint="eastAsia" w:ascii="楷体" w:hAnsi="楷体" w:eastAsia="楷体"/>
          <w:bCs/>
          <w:sz w:val="32"/>
          <w:szCs w:val="32"/>
        </w:rPr>
        <w:t>存在的主要问题</w:t>
      </w:r>
    </w:p>
    <w:p w14:paraId="3C8E09F4">
      <w:pPr>
        <w:pStyle w:val="8"/>
        <w:keepNext w:val="0"/>
        <w:keepLines w:val="0"/>
        <w:pageBreakBefore w:val="0"/>
        <w:widowControl w:val="0"/>
        <w:kinsoku/>
        <w:wordWrap/>
        <w:overflowPunct/>
        <w:topLinePunct w:val="0"/>
        <w:autoSpaceDE/>
        <w:autoSpaceDN/>
        <w:adjustRightInd/>
        <w:snapToGrid/>
        <w:spacing w:line="600" w:lineRule="exact"/>
        <w:ind w:firstLine="640" w:firstLineChars="200"/>
        <w:rPr>
          <w:rFonts w:hint="eastAsia" w:ascii="仿宋" w:hAnsi="仿宋" w:eastAsia="仿宋"/>
          <w:bCs/>
          <w:sz w:val="32"/>
          <w:szCs w:val="32"/>
        </w:rPr>
      </w:pPr>
      <w:r>
        <w:rPr>
          <w:rFonts w:hint="eastAsia" w:ascii="仿宋" w:hAnsi="仿宋" w:eastAsia="仿宋"/>
          <w:bCs/>
          <w:sz w:val="32"/>
          <w:szCs w:val="32"/>
        </w:rPr>
        <w:t>从自评情况看，有关项目总体立项规范，绩效目标明确，绩效目标得到较好实现，部门履职水平不断提高，但也存在产出指标低于预期指标、数量指标预期指标与实际指标完成差异较大、项目实施进展慢等问题。</w:t>
      </w:r>
    </w:p>
    <w:p w14:paraId="2CDE8993">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05966119">
      <w:pPr>
        <w:pStyle w:val="8"/>
        <w:keepNext w:val="0"/>
        <w:keepLines w:val="0"/>
        <w:pageBreakBefore w:val="0"/>
        <w:widowControl w:val="0"/>
        <w:kinsoku/>
        <w:wordWrap/>
        <w:overflowPunct/>
        <w:topLinePunct w:val="0"/>
        <w:autoSpaceDE/>
        <w:autoSpaceDN/>
        <w:adjustRightInd/>
        <w:snapToGrid/>
        <w:spacing w:line="600" w:lineRule="exact"/>
        <w:rPr>
          <w:rFonts w:hint="eastAsia" w:ascii="仿宋" w:hAnsi="仿宋" w:eastAsia="仿宋"/>
          <w:bCs/>
          <w:sz w:val="32"/>
          <w:szCs w:val="32"/>
        </w:rPr>
      </w:pPr>
      <w:r>
        <w:rPr>
          <w:rFonts w:hint="eastAsia" w:ascii="仿宋" w:hAnsi="仿宋" w:eastAsia="仿宋"/>
          <w:bCs/>
          <w:sz w:val="32"/>
          <w:szCs w:val="32"/>
        </w:rPr>
        <w:t>1.强化预算管理工作。提早编制预算，论证预算合理性，争取早谋划，早实施，达到预算合理，项目顺利执行的目的。</w:t>
      </w:r>
    </w:p>
    <w:p w14:paraId="461F8EE7">
      <w:pPr>
        <w:pStyle w:val="8"/>
        <w:keepNext w:val="0"/>
        <w:keepLines w:val="0"/>
        <w:pageBreakBefore w:val="0"/>
        <w:widowControl w:val="0"/>
        <w:kinsoku/>
        <w:wordWrap/>
        <w:overflowPunct/>
        <w:topLinePunct w:val="0"/>
        <w:autoSpaceDE/>
        <w:autoSpaceDN/>
        <w:adjustRightInd/>
        <w:snapToGrid/>
        <w:spacing w:line="600" w:lineRule="exact"/>
        <w:rPr>
          <w:rFonts w:hint="eastAsia" w:ascii="仿宋" w:hAnsi="仿宋" w:eastAsia="仿宋"/>
          <w:bCs/>
          <w:sz w:val="32"/>
          <w:szCs w:val="32"/>
        </w:rPr>
      </w:pPr>
      <w:r>
        <w:rPr>
          <w:rFonts w:hint="eastAsia" w:ascii="仿宋" w:hAnsi="仿宋" w:eastAsia="仿宋"/>
          <w:bCs/>
          <w:sz w:val="32"/>
          <w:szCs w:val="32"/>
        </w:rPr>
        <w:t>2.强化绩效目标管理工作；充分挖掘项目实施的价值和意义，根据项目实际情况设置完善的绩效目标，做到绩效目标针对项目特点清晰明确且细化，绩效目标依据充分。</w:t>
      </w:r>
    </w:p>
    <w:p w14:paraId="544A6819">
      <w:pPr>
        <w:pStyle w:val="8"/>
        <w:keepNext w:val="0"/>
        <w:keepLines w:val="0"/>
        <w:pageBreakBefore w:val="0"/>
        <w:widowControl w:val="0"/>
        <w:kinsoku/>
        <w:wordWrap/>
        <w:overflowPunct/>
        <w:topLinePunct w:val="0"/>
        <w:autoSpaceDE/>
        <w:autoSpaceDN/>
        <w:adjustRightInd/>
        <w:snapToGrid/>
        <w:spacing w:line="600" w:lineRule="exact"/>
        <w:rPr>
          <w:rFonts w:hint="eastAsia" w:ascii="仿宋" w:hAnsi="仿宋" w:eastAsia="仿宋"/>
          <w:bCs/>
          <w:sz w:val="32"/>
          <w:szCs w:val="32"/>
        </w:rPr>
      </w:pPr>
      <w:r>
        <w:rPr>
          <w:rFonts w:hint="eastAsia" w:ascii="仿宋" w:hAnsi="仿宋" w:eastAsia="仿宋"/>
          <w:bCs/>
          <w:sz w:val="32"/>
          <w:szCs w:val="32"/>
        </w:rPr>
        <w:t xml:space="preserve"> 3.多措并举提升预算执行率。年初应制定较为详细的资金使用明细和计划，有效保障下一年度的资金使用和项目实施，采取项目事前评估或其他方式对项目执行过程中可能发生的问题进行预测，保障计划顺利实施。 </w:t>
      </w:r>
    </w:p>
    <w:p w14:paraId="057A1856">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w:t>
      </w:r>
    </w:p>
    <w:p w14:paraId="77D2E62F">
      <w:pPr>
        <w:pStyle w:val="8"/>
        <w:keepNext w:val="0"/>
        <w:keepLines w:val="0"/>
        <w:pageBreakBefore w:val="0"/>
        <w:widowControl w:val="0"/>
        <w:kinsoku/>
        <w:wordWrap/>
        <w:overflowPunct/>
        <w:topLinePunct w:val="0"/>
        <w:autoSpaceDE/>
        <w:autoSpaceDN/>
        <w:adjustRightInd/>
        <w:snapToGrid/>
        <w:spacing w:line="600" w:lineRule="exact"/>
        <w:ind w:firstLine="1280" w:firstLineChars="400"/>
        <w:rPr>
          <w:rFonts w:hint="eastAsia" w:ascii="仿宋" w:hAnsi="仿宋" w:eastAsia="仿宋"/>
          <w:bCs/>
          <w:sz w:val="32"/>
          <w:szCs w:val="32"/>
          <w:lang w:val="en-US" w:eastAsia="zh-CN"/>
        </w:rPr>
      </w:pPr>
      <w:r>
        <w:rPr>
          <w:rFonts w:hint="eastAsia" w:ascii="仿宋" w:hAnsi="仿宋" w:eastAsia="仿宋"/>
          <w:bCs/>
          <w:sz w:val="32"/>
          <w:szCs w:val="32"/>
          <w:lang w:val="en-US" w:eastAsia="zh-CN"/>
        </w:rPr>
        <w:t>张立刚  赵县供销合作社联合社 监事会主任</w:t>
      </w:r>
    </w:p>
    <w:p w14:paraId="5694FC29">
      <w:pPr>
        <w:pStyle w:val="8"/>
        <w:keepNext w:val="0"/>
        <w:keepLines w:val="0"/>
        <w:pageBreakBefore w:val="0"/>
        <w:widowControl w:val="0"/>
        <w:kinsoku/>
        <w:wordWrap/>
        <w:overflowPunct/>
        <w:topLinePunct w:val="0"/>
        <w:autoSpaceDE/>
        <w:autoSpaceDN/>
        <w:adjustRightInd/>
        <w:snapToGrid/>
        <w:spacing w:line="600" w:lineRule="exact"/>
        <w:ind w:firstLine="1280" w:firstLineChars="400"/>
        <w:rPr>
          <w:rFonts w:hint="eastAsia" w:ascii="仿宋" w:hAnsi="仿宋" w:eastAsia="仿宋"/>
          <w:bCs/>
          <w:sz w:val="32"/>
          <w:szCs w:val="32"/>
          <w:lang w:val="en-US" w:eastAsia="zh-CN"/>
        </w:rPr>
      </w:pPr>
      <w:r>
        <w:rPr>
          <w:rFonts w:hint="eastAsia" w:ascii="仿宋" w:hAnsi="仿宋" w:eastAsia="仿宋"/>
          <w:bCs/>
          <w:sz w:val="32"/>
          <w:szCs w:val="32"/>
          <w:lang w:val="en-US" w:eastAsia="zh-CN"/>
        </w:rPr>
        <w:t xml:space="preserve">安根    赵县供销合作社联合社 </w:t>
      </w:r>
      <w:r>
        <w:rPr>
          <w:rFonts w:ascii="仿宋" w:hAnsi="仿宋" w:eastAsia="仿宋"/>
          <w:bCs/>
          <w:sz w:val="32"/>
          <w:szCs w:val="32"/>
          <w:lang w:val="en-US" w:eastAsia="zh-CN"/>
        </w:rPr>
        <w:t>党组成员</w:t>
      </w:r>
    </w:p>
    <w:p w14:paraId="3420FA99">
      <w:pPr>
        <w:pStyle w:val="8"/>
        <w:keepNext w:val="0"/>
        <w:keepLines w:val="0"/>
        <w:pageBreakBefore w:val="0"/>
        <w:widowControl w:val="0"/>
        <w:kinsoku/>
        <w:wordWrap/>
        <w:overflowPunct/>
        <w:topLinePunct w:val="0"/>
        <w:autoSpaceDE/>
        <w:autoSpaceDN/>
        <w:adjustRightInd/>
        <w:snapToGrid/>
        <w:spacing w:line="600" w:lineRule="exact"/>
        <w:ind w:firstLine="1280" w:firstLineChars="400"/>
        <w:rPr>
          <w:rFonts w:hint="eastAsia" w:ascii="仿宋" w:hAnsi="仿宋" w:eastAsia="仿宋"/>
          <w:bCs/>
          <w:sz w:val="32"/>
          <w:szCs w:val="32"/>
          <w:lang w:val="en-US" w:eastAsia="zh-CN"/>
        </w:rPr>
      </w:pPr>
      <w:r>
        <w:rPr>
          <w:rFonts w:hint="eastAsia" w:ascii="仿宋" w:hAnsi="仿宋" w:eastAsia="仿宋"/>
          <w:bCs/>
          <w:sz w:val="32"/>
          <w:szCs w:val="32"/>
          <w:lang w:val="en-US" w:eastAsia="zh-CN"/>
        </w:rPr>
        <w:t>张召雷  赵县供销合作社联合社 办公室</w:t>
      </w:r>
      <w:r>
        <w:rPr>
          <w:rFonts w:ascii="仿宋" w:hAnsi="仿宋" w:eastAsia="仿宋"/>
          <w:bCs/>
          <w:sz w:val="32"/>
          <w:szCs w:val="32"/>
          <w:lang w:val="en-US" w:eastAsia="zh-CN"/>
        </w:rPr>
        <w:t>负责人</w:t>
      </w:r>
    </w:p>
    <w:p w14:paraId="66134B46">
      <w:pPr>
        <w:pStyle w:val="8"/>
        <w:keepNext w:val="0"/>
        <w:keepLines w:val="0"/>
        <w:pageBreakBefore w:val="0"/>
        <w:widowControl w:val="0"/>
        <w:kinsoku/>
        <w:wordWrap/>
        <w:overflowPunct/>
        <w:topLinePunct w:val="0"/>
        <w:autoSpaceDE/>
        <w:autoSpaceDN/>
        <w:adjustRightInd/>
        <w:snapToGrid/>
        <w:spacing w:line="600" w:lineRule="exact"/>
        <w:ind w:firstLine="1280" w:firstLineChars="400"/>
        <w:rPr>
          <w:rFonts w:hint="eastAsia" w:ascii="仿宋" w:hAnsi="仿宋" w:eastAsia="仿宋"/>
          <w:bCs/>
          <w:sz w:val="32"/>
          <w:szCs w:val="32"/>
          <w:lang w:val="en-US" w:eastAsia="zh-CN"/>
        </w:rPr>
      </w:pPr>
      <w:r>
        <w:rPr>
          <w:rFonts w:hint="eastAsia" w:ascii="仿宋" w:hAnsi="仿宋" w:eastAsia="仿宋"/>
          <w:bCs/>
          <w:sz w:val="32"/>
          <w:szCs w:val="32"/>
          <w:lang w:val="en-US" w:eastAsia="zh-CN"/>
        </w:rPr>
        <w:t>苏志杰  赵县供销合作社联合社 人事股</w:t>
      </w:r>
      <w:r>
        <w:rPr>
          <w:rFonts w:ascii="仿宋" w:hAnsi="仿宋" w:eastAsia="仿宋"/>
          <w:bCs/>
          <w:sz w:val="32"/>
          <w:szCs w:val="32"/>
          <w:lang w:val="en-US" w:eastAsia="zh-CN"/>
        </w:rPr>
        <w:t>负责人</w:t>
      </w:r>
    </w:p>
    <w:p w14:paraId="38625C37">
      <w:pPr>
        <w:pStyle w:val="8"/>
        <w:keepNext w:val="0"/>
        <w:keepLines w:val="0"/>
        <w:pageBreakBefore w:val="0"/>
        <w:widowControl w:val="0"/>
        <w:kinsoku/>
        <w:wordWrap/>
        <w:overflowPunct/>
        <w:topLinePunct w:val="0"/>
        <w:autoSpaceDE/>
        <w:autoSpaceDN/>
        <w:adjustRightInd/>
        <w:snapToGrid/>
        <w:spacing w:line="600" w:lineRule="exact"/>
        <w:ind w:firstLine="1280" w:firstLineChars="400"/>
        <w:rPr>
          <w:rFonts w:hint="eastAsia" w:ascii="仿宋" w:hAnsi="仿宋" w:eastAsia="仿宋"/>
          <w:bCs/>
          <w:sz w:val="32"/>
          <w:szCs w:val="32"/>
          <w:lang w:val="en-US" w:eastAsia="zh-CN"/>
        </w:rPr>
      </w:pPr>
      <w:r>
        <w:rPr>
          <w:rFonts w:hint="eastAsia" w:ascii="仿宋" w:hAnsi="仿宋" w:eastAsia="仿宋"/>
          <w:bCs/>
          <w:sz w:val="32"/>
          <w:szCs w:val="32"/>
          <w:lang w:val="en-US" w:eastAsia="zh-CN"/>
        </w:rPr>
        <w:t>贾世超  赵县供销合作社联合社 财会审计股股长</w:t>
      </w:r>
    </w:p>
    <w:p w14:paraId="42CEF114">
      <w:pPr>
        <w:pStyle w:val="8"/>
        <w:keepNext w:val="0"/>
        <w:keepLines w:val="0"/>
        <w:pageBreakBefore w:val="0"/>
        <w:widowControl w:val="0"/>
        <w:kinsoku/>
        <w:wordWrap/>
        <w:overflowPunct/>
        <w:topLinePunct w:val="0"/>
        <w:autoSpaceDE/>
        <w:autoSpaceDN/>
        <w:adjustRightInd/>
        <w:snapToGrid/>
        <w:spacing w:line="600" w:lineRule="exact"/>
        <w:ind w:firstLine="1280" w:firstLineChars="400"/>
        <w:rPr>
          <w:rFonts w:hint="eastAsia" w:ascii="仿宋" w:hAnsi="仿宋" w:eastAsia="仿宋"/>
          <w:bCs/>
          <w:sz w:val="32"/>
          <w:szCs w:val="32"/>
        </w:rPr>
      </w:pPr>
      <w:r>
        <w:rPr>
          <w:rFonts w:hint="eastAsia" w:ascii="仿宋" w:hAnsi="仿宋" w:eastAsia="仿宋"/>
          <w:bCs/>
          <w:sz w:val="32"/>
          <w:szCs w:val="32"/>
          <w:lang w:val="en-US" w:eastAsia="zh-CN"/>
        </w:rPr>
        <w:t>王立伟  赵县供销合作社联合社 业务股股长</w:t>
      </w:r>
    </w:p>
    <w:p w14:paraId="15D0C5E0">
      <w:pPr>
        <w:spacing w:line="560" w:lineRule="exact"/>
        <w:rPr>
          <w:rFonts w:ascii="仿宋" w:hAnsi="仿宋" w:eastAsia="仿宋"/>
        </w:rPr>
      </w:pPr>
    </w:p>
    <w:p w14:paraId="2DB48C50">
      <w:pPr>
        <w:spacing w:line="560" w:lineRule="exact"/>
        <w:rPr>
          <w:rFonts w:ascii="仿宋" w:hAnsi="仿宋" w:eastAsia="仿宋"/>
        </w:rPr>
      </w:pPr>
    </w:p>
    <w:p w14:paraId="780B3738">
      <w:pPr>
        <w:spacing w:line="560" w:lineRule="exact"/>
        <w:rPr>
          <w:rFonts w:hint="eastAsia" w:ascii="仿宋" w:hAnsi="仿宋" w:eastAsia="仿宋"/>
          <w:bCs/>
          <w:sz w:val="32"/>
          <w:szCs w:val="32"/>
        </w:rPr>
      </w:pPr>
      <w:r>
        <w:rPr>
          <w:rFonts w:ascii="仿宋" w:hAnsi="仿宋" w:eastAsia="仿宋"/>
        </w:rPr>
        <w:t xml:space="preserve">                                                  </w:t>
      </w:r>
      <w:r>
        <w:rPr>
          <w:rFonts w:hint="eastAsia" w:ascii="仿宋" w:hAnsi="仿宋" w:eastAsia="仿宋"/>
          <w:bCs/>
          <w:sz w:val="32"/>
          <w:szCs w:val="32"/>
        </w:rPr>
        <w:t>2026年3月</w:t>
      </w:r>
      <w:r>
        <w:rPr>
          <w:rFonts w:ascii="仿宋" w:hAnsi="仿宋" w:eastAsia="仿宋"/>
          <w:bCs/>
          <w:sz w:val="32"/>
          <w:szCs w:val="32"/>
        </w:rPr>
        <w:t>31</w:t>
      </w:r>
      <w:r>
        <w:rPr>
          <w:rFonts w:hint="eastAsia" w:ascii="仿宋" w:hAnsi="仿宋" w:eastAsia="仿宋"/>
          <w:bCs/>
          <w:sz w:val="32"/>
          <w:szCs w:val="32"/>
        </w:rPr>
        <w:t>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KSOFE44F9426">
    <w:panose1 w:val="02010609060101010101"/>
    <w:charset w:val="86"/>
    <w:family w:val="auto"/>
    <w:pitch w:val="default"/>
    <w:sig w:usb0="00000001"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80EA2A">
    <w:pPr>
      <w:pStyle w:val="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209550" cy="162560"/>
              <wp:effectExtent l="0" t="0" r="0" b="0"/>
              <wp:wrapNone/>
              <wp:docPr id="4097" name="Quad Arrow 3073"/>
              <wp:cNvGraphicFramePr/>
              <a:graphic xmlns:a="http://schemas.openxmlformats.org/drawingml/2006/main">
                <a:graphicData uri="http://schemas.microsoft.com/office/word/2010/wordprocessingShape">
                  <wps:wsp>
                    <wps:cNvSpPr/>
                    <wps:spPr>
                      <a:xfrm>
                        <a:off x="0" y="0"/>
                        <a:ext cx="209531" cy="162780"/>
                      </a:xfrm>
                      <a:prstGeom prst="rect">
                        <a:avLst/>
                      </a:prstGeom>
                      <a:noFill/>
                      <a:ln w="9525" cap="flat" cmpd="sng">
                        <a:noFill/>
                        <a:prstDash val="solid"/>
                        <a:miter/>
                      </a:ln>
                    </wps:spPr>
                    <wps:txbx>
                      <w:txbxContent>
                        <w:p w14:paraId="6364B3D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25165926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1qUiZ0QAAAAMBAAAPAAAAAAAAAAEAIAAAACIAAABkcnMvZG93bnJldi54bWxQ&#10;SwECFAAUAAAACACHTuJAWUAUEv4BAAD7AwAADgAAAAAAAAABACAAAAAgAQAAZHJzL2Uyb0RvYy54&#10;bWxQSwUGAAAAAAYABgBZAQAAkAUAAAAA&#10;">
              <v:fill on="f" focussize="0,0"/>
              <v:stroke on="f" joinstyle="miter"/>
              <v:imagedata o:title=""/>
              <o:lock v:ext="edit" aspectratio="f"/>
              <v:textbox inset="0mm,0mm,0mm,0mm" style="mso-fit-shape-to-text:t;">
                <w:txbxContent>
                  <w:p w14:paraId="6364B3D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A95252"/>
    <w:multiLevelType w:val="multilevel"/>
    <w:tmpl w:val="A3A95252"/>
    <w:lvl w:ilvl="0" w:tentative="0">
      <w:start w:val="1"/>
      <w:numFmt w:val="chineseCountingThousand"/>
      <w:lvlText w:val="（%1）"/>
      <w:lvlJc w:val="left"/>
      <w:pPr>
        <w:tabs>
          <w:tab w:val="left" w:pos="0"/>
        </w:tabs>
        <w:ind w:left="0" w:firstLine="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147699BE"/>
    <w:multiLevelType w:val="multilevel"/>
    <w:tmpl w:val="147699BE"/>
    <w:lvl w:ilvl="0" w:tentative="0">
      <w:start w:val="1"/>
      <w:numFmt w:val="chineseCountingThousand"/>
      <w:lvlText w:val="（%1）"/>
      <w:lvlJc w:val="left"/>
      <w:pPr>
        <w:tabs>
          <w:tab w:val="left" w:pos="0"/>
        </w:tabs>
        <w:ind w:left="0" w:firstLine="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3">
    <w:nsid w:val="7DC6E892"/>
    <w:multiLevelType w:val="multilevel"/>
    <w:tmpl w:val="7DC6E892"/>
    <w:lvl w:ilvl="0" w:tentative="0">
      <w:start w:val="1"/>
      <w:numFmt w:val="chineseCountingThousand"/>
      <w:lvlText w:val="（%1）"/>
      <w:lvlJc w:val="left"/>
      <w:pPr>
        <w:tabs>
          <w:tab w:val="left" w:pos="0"/>
        </w:tabs>
        <w:ind w:left="0" w:firstLine="0"/>
      </w:pPr>
      <w:rPr>
        <w:rFonts w:hint="default" w:ascii="楷体" w:hAnsi="楷体" w:eastAsia="楷体"/>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2"/>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doNotUseIndentAsNumberingTabStop/>
    <w:useAltKinsokuLineBreakRules/>
    <w:doNotSuppressIndentation/>
    <w:autofitToFirstFixedWidthCell/>
    <w:splitPgBreakAndParaMark/>
    <w:doNotVertAlignCellWithSp/>
    <w:compatSetting w:name="compatibilityMode" w:uri="http://schemas.microsoft.com/office/word" w:val="11"/>
  </w:compat>
  <w:docVars>
    <w:docVar w:name="commondata" w:val="eyJoZGlkIjoiYzgxMzVhZTBlNDUyZWUxNDVhMjNkN2E1NjFlOTE5NDcifQ=="/>
  </w:docVars>
  <w:rsids>
    <w:rsidRoot w:val="00000000"/>
    <w:rsid w:val="3B16197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link w:val="11"/>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2"/>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3"/>
    <w:qFormat/>
    <w:uiPriority w:val="0"/>
    <w:pPr>
      <w:keepNext/>
      <w:keepLines/>
      <w:spacing w:before="260" w:after="260" w:line="415" w:lineRule="auto"/>
      <w:outlineLvl w:val="2"/>
    </w:pPr>
    <w:rPr>
      <w:b/>
      <w:bCs/>
      <w:sz w:val="32"/>
      <w:szCs w:val="32"/>
    </w:rPr>
  </w:style>
  <w:style w:type="character" w:default="1" w:styleId="10">
    <w:name w:val="Default Paragraph Font"/>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Body Text Indent"/>
    <w:basedOn w:val="1"/>
    <w:qFormat/>
    <w:uiPriority w:val="0"/>
    <w:pPr>
      <w:spacing w:after="120"/>
      <w:ind w:left="42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8">
    <w:name w:val="Body Text First Indent 2"/>
    <w:basedOn w:val="5"/>
    <w:qFormat/>
    <w:uiPriority w:val="0"/>
    <w:pPr>
      <w:keepNext w:val="0"/>
      <w:keepLines w:val="0"/>
      <w:widowControl w:val="0"/>
      <w:suppressLineNumbers w:val="0"/>
      <w:spacing w:before="0" w:beforeAutospacing="0" w:after="0" w:afterAutospacing="0" w:line="360" w:lineRule="auto"/>
      <w:ind w:left="0" w:right="0" w:firstLine="200" w:firstLineChars="200"/>
      <w:jc w:val="both"/>
    </w:pPr>
    <w:rPr>
      <w:rFonts w:ascii="Calibri" w:hAnsi="Calibri" w:eastAsia="宋体" w:cs="Times New Roman"/>
      <w:kern w:val="2"/>
      <w:sz w:val="24"/>
      <w:szCs w:val="24"/>
      <w:lang w:val="en-US" w:eastAsia="zh-CN"/>
    </w:rPr>
  </w:style>
  <w:style w:type="character" w:customStyle="1" w:styleId="11">
    <w:name w:val="heading 1 Char"/>
    <w:basedOn w:val="10"/>
    <w:link w:val="2"/>
    <w:uiPriority w:val="0"/>
    <w:rPr>
      <w:rFonts w:ascii="Calibri" w:hAnsi="Calibri" w:eastAsia="宋体" w:cs="黑体"/>
      <w:b/>
      <w:bCs/>
      <w:kern w:val="44"/>
      <w:sz w:val="44"/>
      <w:szCs w:val="44"/>
      <w:lang w:val="en-US" w:eastAsia="zh-CN" w:bidi="ar-SA"/>
    </w:rPr>
  </w:style>
  <w:style w:type="character" w:customStyle="1" w:styleId="12">
    <w:name w:val="heading 2 Char"/>
    <w:basedOn w:val="10"/>
    <w:link w:val="3"/>
    <w:uiPriority w:val="0"/>
    <w:rPr>
      <w:rFonts w:ascii="Times New Roman" w:hAnsi="Times New Roman" w:eastAsia="黑体" w:cs="黑体"/>
      <w:b/>
      <w:bCs/>
      <w:kern w:val="2"/>
      <w:sz w:val="32"/>
      <w:szCs w:val="32"/>
      <w:lang w:val="en-US" w:eastAsia="zh-CN" w:bidi="ar-SA"/>
    </w:rPr>
  </w:style>
  <w:style w:type="character" w:customStyle="1" w:styleId="13">
    <w:name w:val="heading 3 Char"/>
    <w:basedOn w:val="10"/>
    <w:link w:val="4"/>
    <w:uiPriority w:val="0"/>
    <w:rPr>
      <w:rFonts w:ascii="Calibri" w:hAnsi="Calibri" w:eastAsia="宋体" w:cs="黑体"/>
      <w:b/>
      <w:bCs/>
      <w:kern w:val="2"/>
      <w:sz w:val="32"/>
      <w:szCs w:val="3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678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608B472-8EF7-4AAE-ABE3-ECED5550EB8E}">
  <ds:schemaRefs/>
</ds:datastoreItem>
</file>

<file path=docProps/app.xml><?xml version="1.0" encoding="utf-8"?>
<Properties xmlns="http://schemas.openxmlformats.org/officeDocument/2006/extended-properties" xmlns:vt="http://schemas.openxmlformats.org/officeDocument/2006/docPropsVTypes">
  <Template>Normal.eit</Template>
  <Pages>6</Pages>
  <Words>2639</Words>
  <Characters>2805</Characters>
  <Lines>0</Lines>
  <Paragraphs>62</Paragraphs>
  <TotalTime>0</TotalTime>
  <ScaleCrop>false</ScaleCrop>
  <LinksUpToDate>false</LinksUpToDate>
  <CharactersWithSpaces>2966</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2026-03-31T06:04:00Z</cp:lastPrinted>
  <dcterms:modified xsi:type="dcterms:W3CDTF">2026-04-14T06:54:15Z</dcterms:modified>
  <dc:title>附件3：</dc:title>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96934721B1514D3FBAA28020338CE855_12</vt:lpwstr>
  </property>
  <property fmtid="{D5CDD505-2E9C-101B-9397-08002B2CF9AE}" pid="4" name="KSOTemplateDocerSaveRecord">
    <vt:lpwstr>eyJoZGlkIjoiZjBlMjVmNDExMTMxNWNhZGNjZTJiODI2NDZkZWI3YTkiLCJ1c2VySWQiOiIxNTUwMjQwMDk2In0=</vt:lpwstr>
  </property>
</Properties>
</file>