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F81100">
      <w:pPr>
        <w:jc w:val="center"/>
        <w:rPr>
          <w:rFonts w:hint="eastAsia" w:ascii="仿宋_GB2312" w:hAnsi="仿宋_GB2312" w:eastAsia="仿宋_GB2312" w:cs="仿宋_GB2312"/>
          <w:sz w:val="44"/>
          <w:szCs w:val="44"/>
          <w:lang w:eastAsia="zh-CN"/>
        </w:rPr>
      </w:pPr>
      <w:r>
        <w:rPr>
          <w:rFonts w:hint="eastAsia" w:ascii="仿宋_GB2312" w:hAnsi="仿宋_GB2312" w:eastAsia="仿宋_GB2312" w:cs="仿宋_GB2312"/>
          <w:sz w:val="44"/>
          <w:szCs w:val="44"/>
          <w:lang w:eastAsia="zh-CN"/>
        </w:rPr>
        <w:t>赵县住房和城乡建设局</w:t>
      </w:r>
    </w:p>
    <w:p w14:paraId="126D75D1">
      <w:pPr>
        <w:jc w:val="center"/>
        <w:rPr>
          <w:rFonts w:hint="eastAsia" w:ascii="仿宋_GB2312" w:hAnsi="仿宋_GB2312" w:eastAsia="仿宋_GB2312" w:cs="仿宋_GB2312"/>
          <w:sz w:val="44"/>
          <w:szCs w:val="44"/>
          <w:lang w:eastAsia="zh-CN"/>
        </w:rPr>
      </w:pPr>
      <w:r>
        <w:rPr>
          <w:rFonts w:hint="eastAsia" w:ascii="仿宋_GB2312" w:hAnsi="仿宋_GB2312" w:eastAsia="仿宋_GB2312" w:cs="仿宋_GB2312"/>
          <w:sz w:val="44"/>
          <w:szCs w:val="44"/>
          <w:lang w:eastAsia="zh-CN"/>
        </w:rPr>
        <w:t>涉企行政检查频次上限</w:t>
      </w:r>
      <w:bookmarkStart w:id="0" w:name="_GoBack"/>
      <w:bookmarkEnd w:id="0"/>
    </w:p>
    <w:p w14:paraId="1AEC08DB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年度检查频次总上限：建筑业企业8次，建筑市场中介机构5次，房产类企业4次，保障性住房单位2次，特殊规定的除外。</w:t>
      </w:r>
    </w:p>
    <w:p w14:paraId="64B5A7D2">
      <w:pPr>
        <w:spacing w:line="220" w:lineRule="atLeast"/>
      </w:pPr>
    </w:p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4FB0DBB"/>
    <w:rsid w:val="21F65962"/>
    <w:rsid w:val="241A5DC0"/>
    <w:rsid w:val="4B4A79CD"/>
    <w:rsid w:val="59397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cp:lastPrinted>2026-03-31T06:31:00Z</cp:lastPrinted>
  <dcterms:modified xsi:type="dcterms:W3CDTF">2026-04-02T06:20:50Z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C5C409089FC14CB8B15BE74051735B51_12</vt:lpwstr>
  </property>
</Properties>
</file>