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D561BE">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62B6FE">
      <w:pPr>
        <w:adjustRightInd w:val="0"/>
        <w:snapToGrid w:val="0"/>
        <w:spacing w:line="560" w:lineRule="exact"/>
        <w:ind w:firstLine="720" w:firstLineChars="200"/>
        <w:rPr>
          <w:rFonts w:hint="eastAsia" w:ascii="仿宋" w:hAnsi="仿宋" w:eastAsia="仿宋" w:cs="Times New Roman"/>
          <w:sz w:val="36"/>
          <w:szCs w:val="36"/>
        </w:rPr>
      </w:pPr>
    </w:p>
    <w:p w14:paraId="1A052364">
      <w:pPr>
        <w:adjustRightInd w:val="0"/>
        <w:snapToGrid w:val="0"/>
        <w:spacing w:line="560" w:lineRule="exact"/>
        <w:ind w:firstLine="723" w:firstLineChars="200"/>
        <w:jc w:val="center"/>
        <w:rPr>
          <w:rFonts w:hint="eastAsia" w:ascii="仿宋" w:hAnsi="仿宋" w:eastAsia="仿宋" w:cs="Times New Roman"/>
          <w:b/>
          <w:bCs/>
          <w:sz w:val="36"/>
          <w:szCs w:val="36"/>
        </w:rPr>
      </w:pPr>
      <w:r>
        <w:rPr>
          <w:rFonts w:hint="eastAsia" w:ascii="仿宋" w:hAnsi="仿宋" w:eastAsia="仿宋" w:cs="Times New Roman"/>
          <w:b/>
          <w:bCs/>
          <w:sz w:val="36"/>
          <w:szCs w:val="36"/>
        </w:rPr>
        <w:t>赵县总工会</w:t>
      </w:r>
    </w:p>
    <w:p w14:paraId="6178B608">
      <w:pPr>
        <w:adjustRightInd w:val="0"/>
        <w:snapToGrid w:val="0"/>
        <w:spacing w:line="560" w:lineRule="exact"/>
        <w:ind w:firstLine="723" w:firstLineChars="200"/>
        <w:jc w:val="center"/>
        <w:rPr>
          <w:rFonts w:ascii="宋体" w:hAnsi="宋体" w:cs="宋体"/>
          <w:b/>
          <w:bCs/>
          <w:sz w:val="36"/>
          <w:szCs w:val="36"/>
        </w:rPr>
      </w:pPr>
      <w:r>
        <w:rPr>
          <w:rFonts w:hint="eastAsia" w:ascii="仿宋" w:hAnsi="仿宋" w:eastAsia="仿宋" w:cs="Times New Roman"/>
          <w:b/>
          <w:bCs/>
          <w:sz w:val="36"/>
          <w:szCs w:val="36"/>
        </w:rPr>
        <w:t>202</w:t>
      </w:r>
      <w:r>
        <w:rPr>
          <w:rFonts w:hint="eastAsia" w:ascii="仿宋" w:hAnsi="仿宋" w:eastAsia="仿宋" w:cs="Times New Roman"/>
          <w:b/>
          <w:bCs/>
          <w:sz w:val="36"/>
          <w:szCs w:val="36"/>
          <w:lang w:val="en-US" w:eastAsia="zh-CN"/>
        </w:rPr>
        <w:t>5</w:t>
      </w:r>
      <w:r>
        <w:rPr>
          <w:rFonts w:hint="eastAsia" w:ascii="仿宋" w:hAnsi="仿宋" w:eastAsia="仿宋" w:cs="Times New Roman"/>
          <w:b/>
          <w:bCs/>
          <w:sz w:val="36"/>
          <w:szCs w:val="36"/>
        </w:rPr>
        <w:t>年度整体支出绩效自评报告</w:t>
      </w:r>
    </w:p>
    <w:p w14:paraId="46155C0D">
      <w:pPr>
        <w:spacing w:line="560" w:lineRule="exact"/>
        <w:jc w:val="center"/>
        <w:rPr>
          <w:rFonts w:ascii="华文楷体" w:eastAsia="华文楷体"/>
          <w:sz w:val="32"/>
          <w:szCs w:val="32"/>
        </w:rPr>
      </w:pPr>
    </w:p>
    <w:p w14:paraId="17CC0BEE">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贯彻落实县委、县政府《全面落实预算绩效管理的实施意见》（[2019]77）文件精神，遵循“科学性、规范性、客观性和公正性”的原则，对赵县总工会</w:t>
      </w:r>
      <w:r>
        <w:rPr>
          <w:rFonts w:hint="eastAsia" w:ascii="仿宋" w:hAnsi="仿宋" w:eastAsia="仿宋" w:cs="Times New Roman"/>
          <w:sz w:val="32"/>
          <w:szCs w:val="32"/>
          <w:lang w:val="en-US" w:eastAsia="zh-CN"/>
        </w:rPr>
        <w:t>部门</w:t>
      </w:r>
      <w:r>
        <w:rPr>
          <w:rFonts w:hint="eastAsia" w:ascii="仿宋" w:hAnsi="仿宋" w:eastAsia="仿宋" w:cs="Times New Roman"/>
          <w:sz w:val="32"/>
          <w:szCs w:val="32"/>
          <w:lang w:eastAsia="zh-CN"/>
        </w:rPr>
        <w:t>202</w:t>
      </w: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年整体支出情况实施了财政支出绩效自评价，形成本评价报告。</w:t>
      </w:r>
    </w:p>
    <w:p w14:paraId="73AEA6E8">
      <w:pPr>
        <w:adjustRightInd w:val="0"/>
        <w:snapToGrid w:val="0"/>
        <w:spacing w:line="560" w:lineRule="exact"/>
        <w:ind w:firstLine="643" w:firstLineChars="200"/>
        <w:rPr>
          <w:rFonts w:hint="eastAsia" w:ascii="仿宋" w:hAnsi="仿宋" w:eastAsia="仿宋" w:cs="Times New Roman"/>
          <w:b/>
          <w:bCs/>
          <w:sz w:val="32"/>
          <w:szCs w:val="32"/>
          <w:lang w:eastAsia="zh-CN"/>
        </w:rPr>
      </w:pPr>
      <w:r>
        <w:rPr>
          <w:rFonts w:hint="eastAsia" w:ascii="仿宋" w:hAnsi="仿宋" w:eastAsia="仿宋" w:cs="Times New Roman"/>
          <w:b/>
          <w:bCs/>
          <w:sz w:val="32"/>
          <w:szCs w:val="32"/>
          <w:lang w:eastAsia="zh-CN"/>
        </w:rPr>
        <w:t>一、部门基本情况</w:t>
      </w:r>
    </w:p>
    <w:p w14:paraId="7C2604A5">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（一）部门概况</w:t>
      </w:r>
    </w:p>
    <w:p w14:paraId="6135D7D9">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1.部门职能</w:t>
      </w:r>
    </w:p>
    <w:p w14:paraId="5751340B">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赵县总工会为行政机关是县政府工作部门，其主要职责：根据党的路线、方针、政策和各个时期的中心任务以及县委、市总工会的指示和决定，确定县总工会工作的方针和任务，指导全县工会工作。</w:t>
      </w:r>
    </w:p>
    <w:p w14:paraId="504819DE">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监督检查《工会法》、《中国工会章程》的贯彻执行情况，依照法律和工会章程，组织和指导全县各级工会进一步突出和履行维护职能，开展各项工会工作。</w:t>
      </w:r>
    </w:p>
    <w:p w14:paraId="14E9F3E4">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向县委、县政府及有关部门反映职工群众的思想状况意愿和要求，并提出意见和建议；参与涉及职工切身利益的有关政策的制定；对有关职工利益的重大问题进行调整研究，对侵犯职工合法利益的重大事件进行调查并提出处理意见。</w:t>
      </w:r>
    </w:p>
    <w:p w14:paraId="6CC71217">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指导各级工会的自身改革和建设；指导基层工会组织职工开展以职工代表大会为基础制度的民主选举、民主决策、民主管理和民主监督工作，建立健全平等协商、集体合同制度。</w:t>
      </w:r>
    </w:p>
    <w:p w14:paraId="6A20B93C">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协助县政府做好全县各级劳动模范、全国五一劳动奖章获得者的推荐、评选和管理工作。负责工会财产、经费的征收、管理、审查工作。承办县委、县政府和市总工会交办的有关事项。</w:t>
      </w:r>
    </w:p>
    <w:p w14:paraId="0BB3A3F7">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2．组织机构及人员</w:t>
      </w:r>
    </w:p>
    <w:p w14:paraId="13DA4B89">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部门机构设置情况</w:t>
      </w:r>
    </w:p>
    <w:tbl>
      <w:tblPr>
        <w:tblStyle w:val="4"/>
        <w:tblW w:w="79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3"/>
        <w:gridCol w:w="1984"/>
        <w:gridCol w:w="1718"/>
        <w:gridCol w:w="2355"/>
      </w:tblGrid>
      <w:tr w14:paraId="04B3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1903" w:type="dxa"/>
            <w:vMerge w:val="restart"/>
            <w:vAlign w:val="center"/>
          </w:tcPr>
          <w:p w14:paraId="1CC9DC09">
            <w:pPr>
              <w:adjustRightInd w:val="0"/>
              <w:snapToGrid w:val="0"/>
              <w:spacing w:line="560" w:lineRule="exact"/>
              <w:jc w:val="center"/>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单位名称</w:t>
            </w:r>
          </w:p>
        </w:tc>
        <w:tc>
          <w:tcPr>
            <w:tcW w:w="1984" w:type="dxa"/>
            <w:vMerge w:val="restart"/>
            <w:vAlign w:val="center"/>
          </w:tcPr>
          <w:p w14:paraId="35CCECCF">
            <w:pPr>
              <w:adjustRightInd w:val="0"/>
              <w:snapToGrid w:val="0"/>
              <w:spacing w:line="560" w:lineRule="exact"/>
              <w:jc w:val="center"/>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单位性质</w:t>
            </w:r>
          </w:p>
        </w:tc>
        <w:tc>
          <w:tcPr>
            <w:tcW w:w="1718" w:type="dxa"/>
            <w:vMerge w:val="restart"/>
            <w:vAlign w:val="center"/>
          </w:tcPr>
          <w:p w14:paraId="49D00CB2">
            <w:pPr>
              <w:adjustRightInd w:val="0"/>
              <w:snapToGrid w:val="0"/>
              <w:spacing w:line="560" w:lineRule="exact"/>
              <w:jc w:val="center"/>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单位规格</w:t>
            </w:r>
          </w:p>
        </w:tc>
        <w:tc>
          <w:tcPr>
            <w:tcW w:w="2355" w:type="dxa"/>
            <w:vMerge w:val="restart"/>
            <w:vAlign w:val="center"/>
          </w:tcPr>
          <w:p w14:paraId="112AA5EE">
            <w:pPr>
              <w:adjustRightInd w:val="0"/>
              <w:snapToGrid w:val="0"/>
              <w:spacing w:line="560" w:lineRule="exact"/>
              <w:jc w:val="center"/>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经费保障形式</w:t>
            </w:r>
          </w:p>
        </w:tc>
      </w:tr>
      <w:tr w14:paraId="0AB5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1903" w:type="dxa"/>
            <w:vMerge w:val="continue"/>
            <w:vAlign w:val="center"/>
          </w:tcPr>
          <w:p w14:paraId="6A7B6CF8">
            <w:pPr>
              <w:adjustRightInd w:val="0"/>
              <w:snapToGrid w:val="0"/>
              <w:spacing w:line="560" w:lineRule="exact"/>
              <w:ind w:firstLine="640" w:firstLineChars="200"/>
              <w:jc w:val="center"/>
              <w:rPr>
                <w:rFonts w:hint="eastAsia" w:ascii="仿宋" w:hAnsi="仿宋" w:eastAsia="仿宋" w:cs="Times New Roman"/>
                <w:sz w:val="32"/>
                <w:szCs w:val="32"/>
                <w:lang w:eastAsia="zh-CN"/>
              </w:rPr>
            </w:pPr>
          </w:p>
        </w:tc>
        <w:tc>
          <w:tcPr>
            <w:tcW w:w="1984" w:type="dxa"/>
            <w:vMerge w:val="continue"/>
            <w:vAlign w:val="center"/>
          </w:tcPr>
          <w:p w14:paraId="0DBAE229">
            <w:pPr>
              <w:adjustRightInd w:val="0"/>
              <w:snapToGrid w:val="0"/>
              <w:spacing w:line="560" w:lineRule="exact"/>
              <w:ind w:firstLine="640" w:firstLineChars="200"/>
              <w:jc w:val="center"/>
              <w:rPr>
                <w:rFonts w:hint="eastAsia" w:ascii="仿宋" w:hAnsi="仿宋" w:eastAsia="仿宋" w:cs="Times New Roman"/>
                <w:sz w:val="32"/>
                <w:szCs w:val="32"/>
                <w:lang w:eastAsia="zh-CN"/>
              </w:rPr>
            </w:pPr>
          </w:p>
        </w:tc>
        <w:tc>
          <w:tcPr>
            <w:tcW w:w="1718" w:type="dxa"/>
            <w:vMerge w:val="continue"/>
            <w:vAlign w:val="center"/>
          </w:tcPr>
          <w:p w14:paraId="23DA9A1B">
            <w:pPr>
              <w:adjustRightInd w:val="0"/>
              <w:snapToGrid w:val="0"/>
              <w:spacing w:line="560" w:lineRule="exact"/>
              <w:ind w:firstLine="640" w:firstLineChars="200"/>
              <w:jc w:val="center"/>
              <w:rPr>
                <w:rFonts w:hint="eastAsia" w:ascii="仿宋" w:hAnsi="仿宋" w:eastAsia="仿宋" w:cs="Times New Roman"/>
                <w:sz w:val="32"/>
                <w:szCs w:val="32"/>
                <w:lang w:eastAsia="zh-CN"/>
              </w:rPr>
            </w:pPr>
          </w:p>
        </w:tc>
        <w:tc>
          <w:tcPr>
            <w:tcW w:w="2355" w:type="dxa"/>
            <w:vMerge w:val="continue"/>
            <w:vAlign w:val="center"/>
          </w:tcPr>
          <w:p w14:paraId="015B82F1">
            <w:pPr>
              <w:adjustRightInd w:val="0"/>
              <w:snapToGrid w:val="0"/>
              <w:spacing w:line="560" w:lineRule="exact"/>
              <w:ind w:firstLine="640" w:firstLineChars="200"/>
              <w:jc w:val="center"/>
              <w:rPr>
                <w:rFonts w:hint="eastAsia" w:ascii="仿宋" w:hAnsi="仿宋" w:eastAsia="仿宋" w:cs="Times New Roman"/>
                <w:sz w:val="32"/>
                <w:szCs w:val="32"/>
                <w:lang w:eastAsia="zh-CN"/>
              </w:rPr>
            </w:pPr>
          </w:p>
        </w:tc>
      </w:tr>
      <w:tr w14:paraId="7D62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903" w:type="dxa"/>
            <w:vAlign w:val="center"/>
          </w:tcPr>
          <w:p w14:paraId="4E3B310D">
            <w:pPr>
              <w:adjustRightInd w:val="0"/>
              <w:snapToGrid w:val="0"/>
              <w:spacing w:line="560" w:lineRule="exact"/>
              <w:jc w:val="center"/>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赵县总工会</w:t>
            </w:r>
          </w:p>
        </w:tc>
        <w:tc>
          <w:tcPr>
            <w:tcW w:w="1984" w:type="dxa"/>
            <w:vAlign w:val="center"/>
          </w:tcPr>
          <w:p w14:paraId="6D7742D9">
            <w:pPr>
              <w:adjustRightInd w:val="0"/>
              <w:snapToGrid w:val="0"/>
              <w:spacing w:line="560" w:lineRule="exact"/>
              <w:ind w:firstLine="640" w:firstLineChars="200"/>
              <w:jc w:val="both"/>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行政</w:t>
            </w:r>
          </w:p>
        </w:tc>
        <w:tc>
          <w:tcPr>
            <w:tcW w:w="1718" w:type="dxa"/>
            <w:vAlign w:val="center"/>
          </w:tcPr>
          <w:p w14:paraId="4B8295F6">
            <w:pPr>
              <w:adjustRightInd w:val="0"/>
              <w:snapToGrid w:val="0"/>
              <w:spacing w:line="560" w:lineRule="exact"/>
              <w:jc w:val="center"/>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正科级</w:t>
            </w:r>
          </w:p>
        </w:tc>
        <w:tc>
          <w:tcPr>
            <w:tcW w:w="2355" w:type="dxa"/>
            <w:vAlign w:val="center"/>
          </w:tcPr>
          <w:p w14:paraId="40EB0DB4">
            <w:pPr>
              <w:adjustRightInd w:val="0"/>
              <w:snapToGrid w:val="0"/>
              <w:spacing w:line="560" w:lineRule="exact"/>
              <w:jc w:val="center"/>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财政拨款</w:t>
            </w:r>
          </w:p>
        </w:tc>
      </w:tr>
    </w:tbl>
    <w:p w14:paraId="2B7B1A43">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人员情况：包括当年变动情况及原因。</w:t>
      </w:r>
    </w:p>
    <w:p w14:paraId="4D74122B">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截至202</w:t>
      </w: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年年底，我单位实有行政人员</w:t>
      </w:r>
      <w:r>
        <w:rPr>
          <w:rFonts w:hint="eastAsia" w:ascii="仿宋" w:hAnsi="仿宋" w:eastAsia="仿宋" w:cs="Times New Roman"/>
          <w:sz w:val="32"/>
          <w:szCs w:val="32"/>
          <w:lang w:val="en-US" w:eastAsia="zh-CN"/>
        </w:rPr>
        <w:t>6</w:t>
      </w:r>
      <w:r>
        <w:rPr>
          <w:rFonts w:hint="eastAsia" w:ascii="仿宋" w:hAnsi="仿宋" w:eastAsia="仿宋" w:cs="Times New Roman"/>
          <w:sz w:val="32"/>
          <w:szCs w:val="32"/>
          <w:lang w:eastAsia="zh-CN"/>
        </w:rPr>
        <w:t>人，与202</w:t>
      </w:r>
      <w:r>
        <w:rPr>
          <w:rFonts w:hint="eastAsia" w:ascii="仿宋" w:hAnsi="仿宋" w:eastAsia="仿宋" w:cs="Times New Roman"/>
          <w:sz w:val="32"/>
          <w:szCs w:val="32"/>
          <w:lang w:val="en-US" w:eastAsia="zh-CN"/>
        </w:rPr>
        <w:t>4</w:t>
      </w:r>
      <w:r>
        <w:rPr>
          <w:rFonts w:hint="eastAsia" w:ascii="仿宋" w:hAnsi="仿宋" w:eastAsia="仿宋" w:cs="Times New Roman"/>
          <w:sz w:val="32"/>
          <w:szCs w:val="32"/>
          <w:lang w:eastAsia="zh-CN"/>
        </w:rPr>
        <w:t>年相比较</w:t>
      </w:r>
      <w:r>
        <w:rPr>
          <w:rFonts w:hint="eastAsia" w:ascii="仿宋" w:hAnsi="仿宋" w:eastAsia="仿宋" w:cs="Times New Roman"/>
          <w:sz w:val="32"/>
          <w:szCs w:val="32"/>
          <w:lang w:val="en-US" w:eastAsia="zh-CN"/>
        </w:rPr>
        <w:t>增加2</w:t>
      </w:r>
      <w:r>
        <w:rPr>
          <w:rFonts w:hint="eastAsia" w:ascii="仿宋" w:hAnsi="仿宋" w:eastAsia="仿宋" w:cs="Times New Roman"/>
          <w:sz w:val="32"/>
          <w:szCs w:val="32"/>
          <w:lang w:eastAsia="zh-CN"/>
        </w:rPr>
        <w:t>人。</w:t>
      </w:r>
    </w:p>
    <w:p w14:paraId="24289A9C">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资产情况：截至202</w:t>
      </w: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年12月31日，我单位资产总额（账面净值）</w:t>
      </w:r>
      <w:r>
        <w:rPr>
          <w:rFonts w:hint="eastAsia" w:ascii="仿宋" w:hAnsi="仿宋" w:eastAsia="仿宋" w:cs="Times New Roman"/>
          <w:sz w:val="32"/>
          <w:szCs w:val="32"/>
          <w:lang w:val="en-US" w:eastAsia="zh-CN"/>
        </w:rPr>
        <w:t>396.01</w:t>
      </w:r>
      <w:r>
        <w:rPr>
          <w:rFonts w:hint="eastAsia" w:ascii="仿宋" w:hAnsi="仿宋" w:eastAsia="仿宋" w:cs="Times New Roman"/>
          <w:sz w:val="32"/>
          <w:szCs w:val="32"/>
          <w:lang w:eastAsia="zh-CN"/>
        </w:rPr>
        <w:t>万元，较上年减少1.</w:t>
      </w:r>
      <w:r>
        <w:rPr>
          <w:rFonts w:hint="eastAsia" w:ascii="仿宋" w:hAnsi="仿宋" w:eastAsia="仿宋" w:cs="Times New Roman"/>
          <w:sz w:val="32"/>
          <w:szCs w:val="32"/>
          <w:lang w:val="en-US" w:eastAsia="zh-CN"/>
        </w:rPr>
        <w:t>05</w:t>
      </w:r>
      <w:r>
        <w:rPr>
          <w:rFonts w:hint="eastAsia" w:ascii="仿宋" w:hAnsi="仿宋" w:eastAsia="仿宋" w:cs="Times New Roman"/>
          <w:sz w:val="32"/>
          <w:szCs w:val="32"/>
          <w:lang w:eastAsia="zh-CN"/>
        </w:rPr>
        <w:t>%。负债总额0.00万元,较上年减少0%。净资产</w:t>
      </w:r>
      <w:r>
        <w:rPr>
          <w:rFonts w:hint="eastAsia" w:ascii="仿宋" w:hAnsi="仿宋" w:eastAsia="仿宋" w:cs="Times New Roman"/>
          <w:sz w:val="32"/>
          <w:szCs w:val="32"/>
          <w:lang w:val="en-US" w:eastAsia="zh-CN"/>
        </w:rPr>
        <w:t>396.01</w:t>
      </w:r>
      <w:r>
        <w:rPr>
          <w:rFonts w:hint="eastAsia" w:ascii="仿宋" w:hAnsi="仿宋" w:eastAsia="仿宋" w:cs="Times New Roman"/>
          <w:sz w:val="32"/>
          <w:szCs w:val="32"/>
          <w:lang w:eastAsia="zh-CN"/>
        </w:rPr>
        <w:t>万元 ,较上年减少</w:t>
      </w:r>
      <w:r>
        <w:rPr>
          <w:rFonts w:hint="eastAsia" w:ascii="仿宋" w:hAnsi="仿宋" w:eastAsia="仿宋" w:cs="Times New Roman"/>
          <w:sz w:val="32"/>
          <w:szCs w:val="32"/>
          <w:lang w:val="en-US" w:eastAsia="zh-CN"/>
        </w:rPr>
        <w:t>1.05</w:t>
      </w:r>
      <w:r>
        <w:rPr>
          <w:rFonts w:hint="eastAsia" w:ascii="仿宋" w:hAnsi="仿宋" w:eastAsia="仿宋" w:cs="Times New Roman"/>
          <w:sz w:val="32"/>
          <w:szCs w:val="32"/>
          <w:lang w:eastAsia="zh-CN"/>
        </w:rPr>
        <w:t>%。</w:t>
      </w:r>
    </w:p>
    <w:p w14:paraId="5C0DDA57">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（二）部门收支预决算情况</w:t>
      </w:r>
    </w:p>
    <w:p w14:paraId="5D8F66C7">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202</w:t>
      </w: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年年初项目预算</w:t>
      </w:r>
      <w:r>
        <w:rPr>
          <w:rFonts w:hint="eastAsia" w:ascii="仿宋" w:hAnsi="仿宋" w:eastAsia="仿宋" w:cs="Times New Roman"/>
          <w:sz w:val="32"/>
          <w:szCs w:val="32"/>
          <w:lang w:val="en-US" w:eastAsia="zh-CN"/>
        </w:rPr>
        <w:t>141.5</w:t>
      </w:r>
      <w:r>
        <w:rPr>
          <w:rFonts w:hint="eastAsia" w:ascii="仿宋" w:hAnsi="仿宋" w:eastAsia="仿宋" w:cs="Times New Roman"/>
          <w:sz w:val="32"/>
          <w:szCs w:val="32"/>
          <w:lang w:eastAsia="zh-CN"/>
        </w:rPr>
        <w:t>万元，其中上解市总工会经费</w:t>
      </w:r>
      <w:r>
        <w:rPr>
          <w:rFonts w:hint="eastAsia" w:ascii="仿宋" w:hAnsi="仿宋" w:eastAsia="仿宋" w:cs="Times New Roman"/>
          <w:sz w:val="32"/>
          <w:szCs w:val="32"/>
          <w:lang w:val="en-US" w:eastAsia="zh-CN"/>
        </w:rPr>
        <w:t>51.18</w:t>
      </w:r>
      <w:r>
        <w:rPr>
          <w:rFonts w:hint="eastAsia" w:ascii="仿宋" w:hAnsi="仿宋" w:eastAsia="仿宋" w:cs="Times New Roman"/>
          <w:sz w:val="32"/>
          <w:szCs w:val="32"/>
          <w:lang w:eastAsia="zh-CN"/>
        </w:rPr>
        <w:t>万元，俱乐部人员补助经费</w:t>
      </w:r>
      <w:r>
        <w:rPr>
          <w:rFonts w:hint="eastAsia" w:ascii="仿宋" w:hAnsi="仿宋" w:eastAsia="仿宋" w:cs="Times New Roman"/>
          <w:sz w:val="32"/>
          <w:szCs w:val="32"/>
          <w:lang w:val="en-US" w:eastAsia="zh-CN"/>
        </w:rPr>
        <w:t>60</w:t>
      </w:r>
      <w:r>
        <w:rPr>
          <w:rFonts w:hint="eastAsia" w:ascii="仿宋" w:hAnsi="仿宋" w:eastAsia="仿宋" w:cs="Times New Roman"/>
          <w:sz w:val="32"/>
          <w:szCs w:val="32"/>
          <w:lang w:eastAsia="zh-CN"/>
        </w:rPr>
        <w:t>万元，一线职工送温暖、送清凉</w:t>
      </w:r>
      <w:r>
        <w:rPr>
          <w:rFonts w:hint="eastAsia" w:ascii="仿宋" w:hAnsi="仿宋" w:eastAsia="仿宋" w:cs="Times New Roman"/>
          <w:sz w:val="32"/>
          <w:szCs w:val="32"/>
          <w:lang w:val="en-US" w:eastAsia="zh-CN"/>
        </w:rPr>
        <w:t>活动经费2</w:t>
      </w:r>
      <w:r>
        <w:rPr>
          <w:rFonts w:hint="eastAsia" w:ascii="仿宋" w:hAnsi="仿宋" w:eastAsia="仿宋" w:cs="Times New Roman"/>
          <w:sz w:val="32"/>
          <w:szCs w:val="32"/>
          <w:lang w:eastAsia="zh-CN"/>
        </w:rPr>
        <w:t>万元，大型节日文体活动举办经费</w:t>
      </w:r>
      <w:r>
        <w:rPr>
          <w:rFonts w:hint="eastAsia" w:ascii="仿宋" w:hAnsi="仿宋" w:eastAsia="仿宋" w:cs="Times New Roman"/>
          <w:sz w:val="32"/>
          <w:szCs w:val="32"/>
          <w:lang w:val="en-US" w:eastAsia="zh-CN"/>
        </w:rPr>
        <w:t>1</w:t>
      </w:r>
      <w:r>
        <w:rPr>
          <w:rFonts w:hint="eastAsia" w:ascii="仿宋" w:hAnsi="仿宋" w:eastAsia="仿宋" w:cs="Times New Roman"/>
          <w:sz w:val="32"/>
          <w:szCs w:val="32"/>
          <w:lang w:eastAsia="zh-CN"/>
        </w:rPr>
        <w:t>万元，劳模体检费2</w:t>
      </w:r>
      <w:r>
        <w:rPr>
          <w:rFonts w:hint="eastAsia" w:ascii="仿宋" w:hAnsi="仿宋" w:eastAsia="仿宋" w:cs="Times New Roman"/>
          <w:sz w:val="32"/>
          <w:szCs w:val="32"/>
          <w:lang w:val="en-US" w:eastAsia="zh-CN"/>
        </w:rPr>
        <w:t>.82</w:t>
      </w:r>
      <w:r>
        <w:rPr>
          <w:rFonts w:hint="eastAsia" w:ascii="仿宋" w:hAnsi="仿宋" w:eastAsia="仿宋" w:cs="Times New Roman"/>
          <w:sz w:val="32"/>
          <w:szCs w:val="32"/>
          <w:lang w:eastAsia="zh-CN"/>
        </w:rPr>
        <w:t>万元，全县会员保险费</w:t>
      </w:r>
      <w:r>
        <w:rPr>
          <w:rFonts w:hint="eastAsia" w:ascii="仿宋" w:hAnsi="仿宋" w:eastAsia="仿宋" w:cs="Times New Roman"/>
          <w:sz w:val="32"/>
          <w:szCs w:val="32"/>
          <w:lang w:val="en-US" w:eastAsia="zh-CN"/>
        </w:rPr>
        <w:t>3</w:t>
      </w:r>
      <w:r>
        <w:rPr>
          <w:rFonts w:hint="eastAsia" w:ascii="仿宋" w:hAnsi="仿宋" w:eastAsia="仿宋" w:cs="Times New Roman"/>
          <w:sz w:val="32"/>
          <w:szCs w:val="32"/>
          <w:lang w:eastAsia="zh-CN"/>
        </w:rPr>
        <w:t>万元，赵县总工会职工服务中心养老保险和职业年金单位缴纳部分10万元，202</w:t>
      </w: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年</w:t>
      </w:r>
      <w:r>
        <w:rPr>
          <w:rFonts w:hint="eastAsia" w:ascii="仿宋" w:hAnsi="仿宋" w:eastAsia="仿宋" w:cs="Times New Roman"/>
          <w:sz w:val="32"/>
          <w:szCs w:val="32"/>
          <w:lang w:val="en-US" w:eastAsia="zh-CN"/>
        </w:rPr>
        <w:t>省级</w:t>
      </w:r>
      <w:r>
        <w:rPr>
          <w:rFonts w:hint="eastAsia" w:ascii="仿宋" w:hAnsi="仿宋" w:eastAsia="仿宋" w:cs="Times New Roman"/>
          <w:sz w:val="32"/>
          <w:szCs w:val="32"/>
          <w:lang w:eastAsia="zh-CN"/>
        </w:rPr>
        <w:t>困难职工及劳模帮扶救助专项资金的通知（冀财行【20</w:t>
      </w:r>
      <w:r>
        <w:rPr>
          <w:rFonts w:hint="eastAsia" w:ascii="仿宋" w:hAnsi="仿宋" w:eastAsia="仿宋" w:cs="Times New Roman"/>
          <w:sz w:val="32"/>
          <w:szCs w:val="32"/>
          <w:lang w:val="en-US" w:eastAsia="zh-CN"/>
        </w:rPr>
        <w:t>24</w:t>
      </w:r>
      <w:r>
        <w:rPr>
          <w:rFonts w:hint="eastAsia" w:ascii="仿宋" w:hAnsi="仿宋" w:eastAsia="仿宋" w:cs="Times New Roman"/>
          <w:sz w:val="32"/>
          <w:szCs w:val="32"/>
          <w:lang w:eastAsia="zh-CN"/>
        </w:rPr>
        <w:t>】9</w:t>
      </w:r>
      <w:r>
        <w:rPr>
          <w:rFonts w:hint="eastAsia" w:ascii="仿宋" w:hAnsi="仿宋" w:eastAsia="仿宋" w:cs="Times New Roman"/>
          <w:sz w:val="32"/>
          <w:szCs w:val="32"/>
          <w:lang w:val="en-US" w:eastAsia="zh-CN"/>
        </w:rPr>
        <w:t>7</w:t>
      </w:r>
      <w:r>
        <w:rPr>
          <w:rFonts w:hint="eastAsia" w:ascii="仿宋" w:hAnsi="仿宋" w:eastAsia="仿宋" w:cs="Times New Roman"/>
          <w:sz w:val="32"/>
          <w:szCs w:val="32"/>
          <w:lang w:eastAsia="zh-CN"/>
        </w:rPr>
        <w:t>号）</w:t>
      </w:r>
      <w:r>
        <w:rPr>
          <w:rFonts w:hint="eastAsia" w:ascii="仿宋" w:hAnsi="仿宋" w:eastAsia="仿宋" w:cs="Times New Roman"/>
          <w:sz w:val="32"/>
          <w:szCs w:val="32"/>
          <w:lang w:val="en-US" w:eastAsia="zh-CN"/>
        </w:rPr>
        <w:t>11.5</w:t>
      </w:r>
      <w:r>
        <w:rPr>
          <w:rFonts w:hint="eastAsia" w:ascii="仿宋" w:hAnsi="仿宋" w:eastAsia="仿宋" w:cs="Times New Roman"/>
          <w:sz w:val="32"/>
          <w:szCs w:val="32"/>
          <w:lang w:eastAsia="zh-CN"/>
        </w:rPr>
        <w:t>万元。</w:t>
      </w:r>
    </w:p>
    <w:p w14:paraId="1BE48D0D">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（三）部门整体支出绩效目标、指标</w:t>
      </w:r>
    </w:p>
    <w:p w14:paraId="51B57220">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1.工会会同用人单位动员和组织职工开展群众性的合理化建议和技术革新活动，发展职工技术协会，普及科技知识，推动科技进步；对职工进行爱国主义、集体主义、社会主义教育，民主、法制、纪律教育，协助用人单位进行职业技能培训，组织职工开展文娱、体育活动。争取在全县建设成一支有理想、有道德、有文化、有纪律的职工队伍，计划在五一劳动节</w:t>
      </w:r>
      <w:r>
        <w:rPr>
          <w:rFonts w:hint="eastAsia" w:ascii="仿宋" w:hAnsi="仿宋" w:eastAsia="仿宋" w:cs="Times New Roman"/>
          <w:sz w:val="32"/>
          <w:szCs w:val="32"/>
          <w:lang w:val="en-US" w:eastAsia="zh-CN"/>
        </w:rPr>
        <w:t>、七一建党节、</w:t>
      </w:r>
      <w:r>
        <w:rPr>
          <w:rFonts w:hint="eastAsia" w:ascii="仿宋" w:hAnsi="仿宋" w:eastAsia="仿宋" w:cs="Times New Roman"/>
          <w:sz w:val="32"/>
          <w:szCs w:val="32"/>
          <w:lang w:eastAsia="zh-CN"/>
        </w:rPr>
        <w:t>十一国庆节和春节大型节假日期间举行大型的文化和体育活动；2.保证人员工资正常发放，保障单位正常运转，保障职工满意；3.劳模是社会主义建设事业中成绩卓著的劳动者，是国家的栋梁、社会的精英、职工的楷模。总工会将一如既往的关心劳模的工作和生活，切实落实好有关政策，帮助劳模解决生活难题，让他们更多的感受到工会的温暖。总工会注重加强劳模的管理服务工作，关注劳模的日常工作和生活，关心劳模身心健康，认真做好劳模的慰问工作，切实落实好有关政策，用实际行动关爱劳模，使广大劳模切实感受到工会的关爱，在全社会营造了“尊重劳模、关心劳模、爱护劳模、争当劳模”的和谐氛围；4.根据《石家庄市总工会关于配套在职职工团体保险项目资金的通知》为了使全市广大会员享受到普惠性服务，2017年市总工会在石家庄工会会员卡-“石惠卡”内加载在职职工团体保险项目，受到了上级工会的充分肯定。得到了全市广大职工的热烈拥护；5.按照全国总工会“统一领导、分级管理”的原则，我省工会财务管理体制，按地方工会原则上分为三级管理，即省总工会为二级经费管理单位，市、县总工会为三级经费管理单位，基层工会为四级经费管理单位，按级留成和管理经费，基层留60%，市、县、工会留用25%，省总工会留用10%，上解全总5%的比例逐级上解；6.为做好全县困难职工帮扶及送温暖工作，省财政厅拨付我单位202</w:t>
      </w: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年困难职工及劳模帮扶救助专项资金</w:t>
      </w:r>
      <w:r>
        <w:rPr>
          <w:rFonts w:hint="eastAsia" w:ascii="仿宋" w:hAnsi="仿宋" w:eastAsia="仿宋" w:cs="Times New Roman"/>
          <w:sz w:val="32"/>
          <w:szCs w:val="32"/>
          <w:lang w:val="en-US" w:eastAsia="zh-CN"/>
        </w:rPr>
        <w:t>11.5</w:t>
      </w:r>
      <w:r>
        <w:rPr>
          <w:rFonts w:hint="eastAsia" w:ascii="仿宋" w:hAnsi="仿宋" w:eastAsia="仿宋" w:cs="Times New Roman"/>
          <w:sz w:val="32"/>
          <w:szCs w:val="32"/>
          <w:lang w:eastAsia="zh-CN"/>
        </w:rPr>
        <w:t>万元，根据我县困难职工的实际情况，在大型节假日期间解困难职工的生活所急，切实做好困难职工和劳模的帮扶工作，让困难职工感受到党和政府的温暖和关怀，及时将省财政资金送到困难职工手中；7.根据市总工会《关于开展202</w:t>
      </w: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年“夏送清凉”活动的通知》，为了保障暑期和冬季，高温作业和寒冷作业的一线职工的身心健康，做好他们的防暑和防寒工作，让他们感受到党和政府的温暖和关怀，使他们更好地为社会主义现代化建设服务。要对“夏送清凉、冬送温暖”活动给予高度重视，切实加强组织领导，进一步完善长效机制，安排一定的经费，购买必要的防暑降温及防冻保暖的用品和设备，到户外作业职工集中的企事业单位和重点工地开展走访慰问活动，积极落实有关劳动保护的政策法规，切实维护职工安全健康权益；8.根据河北省财政厅河北省总工会冀财行【2017】36号文件精神，“我省县级以上工会机关及所属事业单位在编人员养老保险和职业年金单位缴纳部分纳入同级财政统筹负担”。赵县总工会职工服务中心是总工会的事业单位，其中在职人员6人，202</w:t>
      </w: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年养老保险和职业年金单位应缴金额10万元。</w:t>
      </w:r>
    </w:p>
    <w:p w14:paraId="27C83F3E">
      <w:pPr>
        <w:adjustRightInd w:val="0"/>
        <w:snapToGrid w:val="0"/>
        <w:spacing w:line="560" w:lineRule="exact"/>
        <w:ind w:firstLine="643" w:firstLineChars="200"/>
        <w:rPr>
          <w:rFonts w:hint="eastAsia" w:ascii="仿宋" w:hAnsi="仿宋" w:eastAsia="仿宋" w:cs="Times New Roman"/>
          <w:b/>
          <w:bCs/>
          <w:sz w:val="32"/>
          <w:szCs w:val="32"/>
          <w:lang w:eastAsia="zh-CN"/>
        </w:rPr>
      </w:pPr>
      <w:r>
        <w:rPr>
          <w:rFonts w:hint="eastAsia" w:ascii="仿宋" w:hAnsi="仿宋" w:eastAsia="仿宋" w:cs="Times New Roman"/>
          <w:b/>
          <w:bCs/>
          <w:sz w:val="32"/>
          <w:szCs w:val="32"/>
          <w:lang w:eastAsia="zh-CN"/>
        </w:rPr>
        <w:t>二、自评工作开展情况</w:t>
      </w:r>
    </w:p>
    <w:p w14:paraId="6BDF681F">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（一）自评的组织工作</w:t>
      </w:r>
    </w:p>
    <w:p w14:paraId="3DF616E2">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我单位成立了绩效自评工作小组，自评工作专人负责，评价资料完整。</w:t>
      </w:r>
    </w:p>
    <w:p w14:paraId="276B2CD4">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自评的方法和过程：</w:t>
      </w:r>
    </w:p>
    <w:p w14:paraId="4F386A1E">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对202</w:t>
      </w:r>
      <w:r>
        <w:rPr>
          <w:rFonts w:hint="eastAsia" w:ascii="仿宋" w:hAnsi="仿宋" w:eastAsia="仿宋" w:cs="Times New Roman"/>
          <w:sz w:val="32"/>
          <w:szCs w:val="32"/>
          <w:lang w:val="en-US" w:eastAsia="zh-CN"/>
        </w:rPr>
        <w:t>5</w:t>
      </w:r>
      <w:r>
        <w:rPr>
          <w:rFonts w:hint="eastAsia" w:ascii="仿宋" w:hAnsi="仿宋" w:eastAsia="仿宋" w:cs="Times New Roman"/>
          <w:sz w:val="32"/>
          <w:szCs w:val="32"/>
          <w:lang w:eastAsia="zh-CN"/>
        </w:rPr>
        <w:t>年项目年度预算方案实施情况和绩效目标进行了逐项的检查。首先按照绩效评价工作要求，明确绩效评价的内容和范围，初步制定绩效评价工作方案。二是召开座谈会，对工作方案进行反复讨论并广泛征求相关部门和有关人员意见。三是在资料搜集、信息核实、现场调研、访谈沟通等工作的基础上，对我单位各预算项目单独进行打分自评，各项目自评工作为实施单位年度绩效评价工作奠定了基础。</w:t>
      </w:r>
    </w:p>
    <w:p w14:paraId="6D642E36">
      <w:pPr>
        <w:adjustRightInd w:val="0"/>
        <w:snapToGrid w:val="0"/>
        <w:spacing w:line="560" w:lineRule="exact"/>
        <w:ind w:firstLine="643" w:firstLineChars="200"/>
        <w:rPr>
          <w:rFonts w:hint="eastAsia" w:ascii="仿宋" w:hAnsi="仿宋" w:eastAsia="仿宋" w:cs="Times New Roman"/>
          <w:b/>
          <w:bCs/>
          <w:sz w:val="32"/>
          <w:szCs w:val="32"/>
          <w:lang w:eastAsia="zh-CN"/>
        </w:rPr>
      </w:pPr>
      <w:r>
        <w:rPr>
          <w:rFonts w:hint="eastAsia" w:ascii="仿宋" w:hAnsi="仿宋" w:eastAsia="仿宋" w:cs="Times New Roman"/>
          <w:b/>
          <w:bCs/>
          <w:sz w:val="32"/>
          <w:szCs w:val="32"/>
          <w:lang w:eastAsia="zh-CN"/>
        </w:rPr>
        <w:t>三、部门整体支出绩效目标实现情况及指标分析</w:t>
      </w:r>
    </w:p>
    <w:p w14:paraId="0F7B9E03">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一）</w:t>
      </w:r>
      <w:r>
        <w:rPr>
          <w:rFonts w:hint="eastAsia" w:ascii="仿宋" w:hAnsi="仿宋" w:eastAsia="仿宋" w:cs="Times New Roman"/>
          <w:sz w:val="32"/>
          <w:szCs w:val="32"/>
          <w:lang w:eastAsia="zh-CN"/>
        </w:rPr>
        <w:t>总体绩效目标实现情况</w:t>
      </w:r>
    </w:p>
    <w:p w14:paraId="0DB93ABB">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20</w:t>
      </w:r>
      <w:r>
        <w:rPr>
          <w:rFonts w:hint="eastAsia" w:ascii="仿宋" w:hAnsi="仿宋" w:eastAsia="仿宋" w:cs="Times New Roman"/>
          <w:sz w:val="32"/>
          <w:szCs w:val="32"/>
          <w:lang w:val="en-US" w:eastAsia="zh-CN"/>
        </w:rPr>
        <w:t>25</w:t>
      </w:r>
      <w:r>
        <w:rPr>
          <w:rFonts w:hint="eastAsia" w:ascii="仿宋" w:hAnsi="仿宋" w:eastAsia="仿宋" w:cs="Times New Roman"/>
          <w:sz w:val="32"/>
          <w:szCs w:val="32"/>
          <w:lang w:eastAsia="zh-CN"/>
        </w:rPr>
        <w:t>年全县工会工作的总体要求是</w:t>
      </w:r>
      <w:bookmarkStart w:id="0" w:name="_GoBack"/>
      <w:bookmarkEnd w:id="0"/>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认真学习宣传贯彻党的二十大精神、习近平总书记关于工人阶级和工会工作的重要论述，巩固拓展主题教育成果，教育引导工会干部和广大职工深刻领悟“两个确立”的决定性意义，进一步增强“四个意识”、坚定“四个自信”、做到“两个维护”。组织全县职工开展了“理想赵州”党的创新理论宣讲大赛、“七一颂党恩 礼赞新赵州”文艺演出等系列活动，</w:t>
      </w:r>
      <w:r>
        <w:rPr>
          <w:rFonts w:hint="eastAsia" w:ascii="仿宋" w:hAnsi="仿宋" w:eastAsia="仿宋" w:cs="Times New Roman"/>
          <w:sz w:val="32"/>
          <w:szCs w:val="32"/>
          <w:lang w:eastAsia="zh-CN"/>
        </w:rPr>
        <w:t>以重点工作项目带动整体工作创新发展，确保实现“创新提升年”目标任务，团结动员全县广大职工在加快转型升级、跨越赶超、建设经济强县、幸福赵县步伐，率先全面建成小康社会中发挥主力军作用。</w:t>
      </w:r>
    </w:p>
    <w:p w14:paraId="6DBB1566">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（二）分项绩效目标实现情况及指标分析</w:t>
      </w:r>
    </w:p>
    <w:p w14:paraId="14786FC6">
      <w:pPr>
        <w:adjustRightInd w:val="0"/>
        <w:snapToGrid w:val="0"/>
        <w:spacing w:line="56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1.及时发放职工手中工资，社会养老保险、社会医疗保险、工伤保险按照比例和应缴纳的数额及时上交。总体完成率100%。</w:t>
      </w:r>
    </w:p>
    <w:p w14:paraId="23978C17">
      <w:pPr>
        <w:adjustRightInd w:val="0"/>
        <w:snapToGrid w:val="0"/>
        <w:spacing w:line="56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2.保障暑期和冬季高温作业和寒冷作业的一线职工的身心健康，为他们做好防暑防寒工作，使他们感受到党和政府的温暖和关怀。总体完成率100%。</w:t>
      </w:r>
    </w:p>
    <w:p w14:paraId="4F2F1B0B">
      <w:pPr>
        <w:adjustRightInd w:val="0"/>
        <w:snapToGrid w:val="0"/>
        <w:spacing w:line="56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3.根据县财政局划拨总工会的工会经费数额，按照市总工会下发的任务数和比例，县级工会每季度的月末及时上解市总工会。总体完成率100%。</w:t>
      </w:r>
    </w:p>
    <w:p w14:paraId="6DE4CC8A">
      <w:pPr>
        <w:adjustRightInd w:val="0"/>
        <w:snapToGrid w:val="0"/>
        <w:spacing w:line="56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4.在五一劳动节、十一国庆节和春节大型节假日期间举行大型的文化和体育活动。</w:t>
      </w:r>
      <w:r>
        <w:rPr>
          <w:rFonts w:hint="eastAsia" w:ascii="仿宋" w:hAnsi="仿宋" w:eastAsia="仿宋" w:cs="Times New Roman"/>
          <w:sz w:val="32"/>
          <w:szCs w:val="32"/>
          <w:lang w:eastAsia="zh-CN"/>
        </w:rPr>
        <w:t>丰富职工文化生活，促进企业单位文化建设。</w:t>
      </w:r>
      <w:r>
        <w:rPr>
          <w:rFonts w:hint="eastAsia" w:ascii="仿宋" w:hAnsi="仿宋" w:eastAsia="仿宋" w:cs="Times New Roman"/>
          <w:sz w:val="32"/>
          <w:szCs w:val="32"/>
          <w:lang w:val="en-US" w:eastAsia="zh-CN"/>
        </w:rPr>
        <w:t>总体完成率100%。</w:t>
      </w:r>
    </w:p>
    <w:p w14:paraId="74582768">
      <w:pPr>
        <w:adjustRightInd w:val="0"/>
        <w:snapToGrid w:val="0"/>
        <w:spacing w:line="56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eastAsia="zh-CN"/>
        </w:rPr>
        <w:t xml:space="preserve"> </w:t>
      </w:r>
      <w:r>
        <w:rPr>
          <w:rFonts w:hint="eastAsia" w:ascii="仿宋" w:hAnsi="仿宋" w:eastAsia="仿宋" w:cs="Times New Roman"/>
          <w:sz w:val="32"/>
          <w:szCs w:val="32"/>
          <w:lang w:val="en-US" w:eastAsia="zh-CN"/>
        </w:rPr>
        <w:t>5.劳模是社会主义建设事业中成绩卓著的劳动者，是国家的栋梁、社会的精英、职工的楷模。总工会将一如既往的关心劳模的工作和生活，切实落实好有关政策，帮助劳模解决生活难题，让他们更多的感受到工会的温暖。总体完成率100%。</w:t>
      </w:r>
    </w:p>
    <w:p w14:paraId="57DC9A4A">
      <w:pPr>
        <w:adjustRightInd w:val="0"/>
        <w:snapToGrid w:val="0"/>
        <w:spacing w:line="56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6.按照《石家庄市总工会办公室关于实施第九期在职职工团体保险项目的通知》（石工办字{2025}3号）要求：“在职职工团体保险项目资金，由市总工会和各对口单位共同承担，市总工会按照数据库中核实的名单以每人5元的标准支付项目资金。总体完成率100%。</w:t>
      </w:r>
    </w:p>
    <w:p w14:paraId="72D45DCA">
      <w:pPr>
        <w:adjustRightInd w:val="0"/>
        <w:snapToGrid w:val="0"/>
        <w:spacing w:line="56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7.根据河北省财政厅河北省总工会冀财行【2017】36号文件精神，“我省县级以上工会机关及所属事业单位在编人员养老保险和职业年金单位缴纳部分纳入同级财政统筹负担”。总体完成率100%。</w:t>
      </w:r>
    </w:p>
    <w:p w14:paraId="31D8B864">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val="en-US" w:eastAsia="zh-CN"/>
        </w:rPr>
        <w:t>8.为做好2025年全县困难职工帮扶及送温暖工作，省财政厅拨付我单位专项资金，根据我县困难职工的实际情况，在大型节假日期间解困难职工的生活所急，让困难职工感受到党和政府的温暖和关怀。总体完成率100%。</w:t>
      </w:r>
    </w:p>
    <w:p w14:paraId="7330BA70">
      <w:pPr>
        <w:adjustRightInd w:val="0"/>
        <w:snapToGrid w:val="0"/>
        <w:spacing w:line="560" w:lineRule="exact"/>
        <w:ind w:firstLine="643" w:firstLineChars="200"/>
        <w:rPr>
          <w:rFonts w:hint="eastAsia" w:ascii="仿宋" w:hAnsi="仿宋" w:eastAsia="仿宋" w:cs="Times New Roman"/>
          <w:sz w:val="32"/>
          <w:szCs w:val="32"/>
          <w:lang w:eastAsia="zh-CN"/>
        </w:rPr>
      </w:pPr>
      <w:r>
        <w:rPr>
          <w:rFonts w:hint="eastAsia" w:ascii="仿宋" w:hAnsi="仿宋" w:eastAsia="仿宋" w:cs="Times New Roman"/>
          <w:b/>
          <w:bCs/>
          <w:sz w:val="32"/>
          <w:szCs w:val="32"/>
          <w:lang w:eastAsia="zh-CN"/>
        </w:rPr>
        <w:t>四、评价结论和评价等级</w:t>
      </w:r>
    </w:p>
    <w:p w14:paraId="7A12FA66">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根据项目执行情况和项目绩效情况，总得分9</w:t>
      </w:r>
      <w:r>
        <w:rPr>
          <w:rFonts w:hint="eastAsia" w:ascii="仿宋" w:hAnsi="仿宋" w:eastAsia="仿宋" w:cs="Times New Roman"/>
          <w:sz w:val="32"/>
          <w:szCs w:val="32"/>
          <w:lang w:val="en-US" w:eastAsia="zh-CN"/>
        </w:rPr>
        <w:t>7</w:t>
      </w:r>
      <w:r>
        <w:rPr>
          <w:rFonts w:hint="eastAsia" w:ascii="仿宋" w:hAnsi="仿宋" w:eastAsia="仿宋" w:cs="Times New Roman"/>
          <w:sz w:val="32"/>
          <w:szCs w:val="32"/>
          <w:lang w:eastAsia="zh-CN"/>
        </w:rPr>
        <w:t>分，等级为优秀。</w:t>
      </w:r>
    </w:p>
    <w:p w14:paraId="6C8DC079">
      <w:pPr>
        <w:adjustRightInd w:val="0"/>
        <w:snapToGrid w:val="0"/>
        <w:spacing w:line="560" w:lineRule="exact"/>
        <w:ind w:firstLine="643" w:firstLineChars="200"/>
        <w:rPr>
          <w:rFonts w:hint="eastAsia" w:ascii="仿宋" w:hAnsi="仿宋" w:eastAsia="仿宋" w:cs="Times New Roman"/>
          <w:sz w:val="32"/>
          <w:szCs w:val="32"/>
          <w:lang w:eastAsia="zh-CN"/>
        </w:rPr>
      </w:pPr>
      <w:r>
        <w:rPr>
          <w:rFonts w:hint="eastAsia" w:ascii="仿宋" w:hAnsi="仿宋" w:eastAsia="仿宋" w:cs="Times New Roman"/>
          <w:b/>
          <w:bCs/>
          <w:sz w:val="32"/>
          <w:szCs w:val="32"/>
          <w:lang w:eastAsia="zh-CN"/>
        </w:rPr>
        <w:t>五、存在的问题及改进措施</w:t>
      </w:r>
    </w:p>
    <w:p w14:paraId="146BFF75">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（一）项目存在的主要问题：预算编制不够明确和细化，预算编制的合理性需要提高，预算执行力度还要进一步加强。</w:t>
      </w:r>
    </w:p>
    <w:p w14:paraId="455D58CE">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二）针对问题提出具体的改进措施或建议：细化预算编制工作，认真做好预算的编制。进一步加强单位内部机构各股室的预算管理意识，严格按照预算编制的相关制度和要求进行预算编制；全面编制预算项目，优先保障固定性的、相对刚性的费用支出项目，尽量压缩变动性的、有控制空间的费用项目，进一步提高预算编制的科学性、严谨性和可控性。加强内部预算编制的审核和预算控制指标的下达。</w:t>
      </w:r>
    </w:p>
    <w:p w14:paraId="45D3A9CA">
      <w:pPr>
        <w:adjustRightInd w:val="0"/>
        <w:snapToGrid w:val="0"/>
        <w:spacing w:line="560" w:lineRule="exact"/>
        <w:ind w:firstLine="643" w:firstLineChars="200"/>
        <w:rPr>
          <w:rFonts w:hint="eastAsia" w:ascii="仿宋" w:hAnsi="仿宋" w:eastAsia="仿宋" w:cs="Times New Roman"/>
          <w:sz w:val="32"/>
          <w:szCs w:val="32"/>
          <w:lang w:eastAsia="zh-CN"/>
        </w:rPr>
      </w:pPr>
      <w:r>
        <w:rPr>
          <w:rFonts w:hint="eastAsia" w:ascii="仿宋" w:hAnsi="仿宋" w:eastAsia="仿宋" w:cs="Times New Roman"/>
          <w:b/>
          <w:bCs/>
          <w:sz w:val="32"/>
          <w:szCs w:val="32"/>
          <w:lang w:eastAsia="zh-CN"/>
        </w:rPr>
        <w:t>六、评价工作组人员名单及签字（姓名、工作单位）</w:t>
      </w:r>
    </w:p>
    <w:p w14:paraId="422E6B64">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val="en-US" w:eastAsia="zh-CN"/>
        </w:rPr>
        <w:t>许青波</w:t>
      </w:r>
      <w:r>
        <w:rPr>
          <w:rFonts w:hint="eastAsia" w:ascii="仿宋" w:hAnsi="仿宋" w:eastAsia="仿宋" w:cs="Times New Roman"/>
          <w:sz w:val="32"/>
          <w:szCs w:val="32"/>
          <w:lang w:eastAsia="zh-CN"/>
        </w:rPr>
        <w:t xml:space="preserve">    赵县总工会    </w:t>
      </w:r>
    </w:p>
    <w:p w14:paraId="75E166DD">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 xml:space="preserve">贾岩峰    赵县总工会    </w:t>
      </w:r>
    </w:p>
    <w:p w14:paraId="4397ACD2">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val="en-US" w:eastAsia="zh-CN"/>
        </w:rPr>
        <w:t>杨天娇</w:t>
      </w:r>
      <w:r>
        <w:rPr>
          <w:rFonts w:hint="eastAsia" w:ascii="仿宋" w:hAnsi="仿宋" w:eastAsia="仿宋" w:cs="Times New Roman"/>
          <w:sz w:val="32"/>
          <w:szCs w:val="32"/>
          <w:lang w:eastAsia="zh-CN"/>
        </w:rPr>
        <w:t xml:space="preserve">    赵县总工会    </w:t>
      </w:r>
    </w:p>
    <w:p w14:paraId="77BEFBC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Times New Roman"/>
          <w:sz w:val="32"/>
          <w:szCs w:val="32"/>
          <w:lang w:val="en-US" w:eastAsia="zh-CN"/>
        </w:rPr>
        <w:t>赵少倩</w:t>
      </w:r>
      <w:r>
        <w:rPr>
          <w:rFonts w:hint="eastAsia" w:ascii="仿宋" w:hAnsi="仿宋" w:eastAsia="仿宋" w:cs="Times New Roman"/>
          <w:sz w:val="32"/>
          <w:szCs w:val="32"/>
          <w:lang w:eastAsia="zh-CN"/>
        </w:rPr>
        <w:t xml:space="preserve">    赵县总工会    </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7AA1E">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6A22017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100ED"/>
    <w:rsid w:val="007E6C1F"/>
    <w:rsid w:val="00956A93"/>
    <w:rsid w:val="009D11C5"/>
    <w:rsid w:val="009E575C"/>
    <w:rsid w:val="00AB45AC"/>
    <w:rsid w:val="00AF167E"/>
    <w:rsid w:val="00AF566A"/>
    <w:rsid w:val="00B478EA"/>
    <w:rsid w:val="00B6553A"/>
    <w:rsid w:val="00BC6576"/>
    <w:rsid w:val="00C968D1"/>
    <w:rsid w:val="00CE06BA"/>
    <w:rsid w:val="00F441CC"/>
    <w:rsid w:val="00F75EFB"/>
    <w:rsid w:val="0136557F"/>
    <w:rsid w:val="01B104CA"/>
    <w:rsid w:val="02106AB0"/>
    <w:rsid w:val="02700ECE"/>
    <w:rsid w:val="02B43A28"/>
    <w:rsid w:val="033755DF"/>
    <w:rsid w:val="03667C72"/>
    <w:rsid w:val="046F331E"/>
    <w:rsid w:val="063E0174"/>
    <w:rsid w:val="07956271"/>
    <w:rsid w:val="07EA70C4"/>
    <w:rsid w:val="08793FA4"/>
    <w:rsid w:val="094E3682"/>
    <w:rsid w:val="09721397"/>
    <w:rsid w:val="0A3C4E60"/>
    <w:rsid w:val="0BB63BED"/>
    <w:rsid w:val="0BB974D9"/>
    <w:rsid w:val="0C632FA1"/>
    <w:rsid w:val="0CE4468A"/>
    <w:rsid w:val="0D865199"/>
    <w:rsid w:val="0DBB73CE"/>
    <w:rsid w:val="0E293757"/>
    <w:rsid w:val="0EB97A43"/>
    <w:rsid w:val="0EBD2122"/>
    <w:rsid w:val="0F214EAE"/>
    <w:rsid w:val="11B71E6A"/>
    <w:rsid w:val="11C5058A"/>
    <w:rsid w:val="12F157AA"/>
    <w:rsid w:val="13C702B9"/>
    <w:rsid w:val="13FB007E"/>
    <w:rsid w:val="153674A4"/>
    <w:rsid w:val="1660547D"/>
    <w:rsid w:val="167877FF"/>
    <w:rsid w:val="17EE22B8"/>
    <w:rsid w:val="18245CDA"/>
    <w:rsid w:val="189D5A8C"/>
    <w:rsid w:val="18BD1C8B"/>
    <w:rsid w:val="18EE62E8"/>
    <w:rsid w:val="18F86036"/>
    <w:rsid w:val="19632832"/>
    <w:rsid w:val="1AAF0063"/>
    <w:rsid w:val="1BCC0FFC"/>
    <w:rsid w:val="1BCD15A0"/>
    <w:rsid w:val="1BE140DE"/>
    <w:rsid w:val="1C220782"/>
    <w:rsid w:val="1CA96499"/>
    <w:rsid w:val="1D0C5031"/>
    <w:rsid w:val="1D491BD5"/>
    <w:rsid w:val="1E8A260F"/>
    <w:rsid w:val="20AE2589"/>
    <w:rsid w:val="20BD6CCC"/>
    <w:rsid w:val="21222FD3"/>
    <w:rsid w:val="2168529F"/>
    <w:rsid w:val="21863561"/>
    <w:rsid w:val="21D544E9"/>
    <w:rsid w:val="221E379A"/>
    <w:rsid w:val="22411897"/>
    <w:rsid w:val="22540FD1"/>
    <w:rsid w:val="229677D4"/>
    <w:rsid w:val="2344240B"/>
    <w:rsid w:val="248074B2"/>
    <w:rsid w:val="248C197D"/>
    <w:rsid w:val="24A83CC7"/>
    <w:rsid w:val="25174BBE"/>
    <w:rsid w:val="25207829"/>
    <w:rsid w:val="252959AF"/>
    <w:rsid w:val="25BC39F6"/>
    <w:rsid w:val="25CD5C03"/>
    <w:rsid w:val="277A6671"/>
    <w:rsid w:val="281A529E"/>
    <w:rsid w:val="28305FD5"/>
    <w:rsid w:val="28414686"/>
    <w:rsid w:val="2895052E"/>
    <w:rsid w:val="28C57065"/>
    <w:rsid w:val="292D35B7"/>
    <w:rsid w:val="294066EC"/>
    <w:rsid w:val="2B4148B6"/>
    <w:rsid w:val="2C581F9E"/>
    <w:rsid w:val="2CE915E7"/>
    <w:rsid w:val="2DCE2518"/>
    <w:rsid w:val="2E5C5FFB"/>
    <w:rsid w:val="2EC34D2A"/>
    <w:rsid w:val="30562C99"/>
    <w:rsid w:val="30BA4FD6"/>
    <w:rsid w:val="31D30FF9"/>
    <w:rsid w:val="32E32DB6"/>
    <w:rsid w:val="33EB6CFF"/>
    <w:rsid w:val="35A12947"/>
    <w:rsid w:val="36000BAC"/>
    <w:rsid w:val="37387040"/>
    <w:rsid w:val="380D1E8F"/>
    <w:rsid w:val="38CC7F9C"/>
    <w:rsid w:val="39A14F85"/>
    <w:rsid w:val="39D32C64"/>
    <w:rsid w:val="3AB75147"/>
    <w:rsid w:val="3AD60C5E"/>
    <w:rsid w:val="3B44206B"/>
    <w:rsid w:val="3B625C0A"/>
    <w:rsid w:val="3BA26D92"/>
    <w:rsid w:val="3C2422A7"/>
    <w:rsid w:val="3CEE1963"/>
    <w:rsid w:val="3D6C413C"/>
    <w:rsid w:val="3E94330A"/>
    <w:rsid w:val="3EBA2645"/>
    <w:rsid w:val="3F442767"/>
    <w:rsid w:val="3F5D194E"/>
    <w:rsid w:val="3FE536F1"/>
    <w:rsid w:val="400E0E9A"/>
    <w:rsid w:val="4059257C"/>
    <w:rsid w:val="436B78D3"/>
    <w:rsid w:val="439525BE"/>
    <w:rsid w:val="44B83F02"/>
    <w:rsid w:val="44D0671E"/>
    <w:rsid w:val="4536785A"/>
    <w:rsid w:val="45D777CC"/>
    <w:rsid w:val="471C3E9C"/>
    <w:rsid w:val="47CB7F1C"/>
    <w:rsid w:val="496D6C31"/>
    <w:rsid w:val="4AF3760A"/>
    <w:rsid w:val="4B11745C"/>
    <w:rsid w:val="4BA34B8C"/>
    <w:rsid w:val="4C336C95"/>
    <w:rsid w:val="4C9C27FE"/>
    <w:rsid w:val="4DEF5133"/>
    <w:rsid w:val="4E284210"/>
    <w:rsid w:val="4E296E9F"/>
    <w:rsid w:val="4EB70C58"/>
    <w:rsid w:val="4F564B0B"/>
    <w:rsid w:val="4F701229"/>
    <w:rsid w:val="4FA457FB"/>
    <w:rsid w:val="4FE90FDC"/>
    <w:rsid w:val="512260B4"/>
    <w:rsid w:val="51730B5D"/>
    <w:rsid w:val="51864D34"/>
    <w:rsid w:val="51E11F6A"/>
    <w:rsid w:val="52BD6ACB"/>
    <w:rsid w:val="52F21F55"/>
    <w:rsid w:val="531601E1"/>
    <w:rsid w:val="531E04EB"/>
    <w:rsid w:val="55537534"/>
    <w:rsid w:val="561A74F1"/>
    <w:rsid w:val="577E32F8"/>
    <w:rsid w:val="57D460CD"/>
    <w:rsid w:val="597244E8"/>
    <w:rsid w:val="5C732879"/>
    <w:rsid w:val="5CD9094D"/>
    <w:rsid w:val="5D192F00"/>
    <w:rsid w:val="5EB71C30"/>
    <w:rsid w:val="5ED15115"/>
    <w:rsid w:val="5FAA3AFF"/>
    <w:rsid w:val="60E741AC"/>
    <w:rsid w:val="614E5143"/>
    <w:rsid w:val="61993110"/>
    <w:rsid w:val="61F77588"/>
    <w:rsid w:val="62516C98"/>
    <w:rsid w:val="63250F34"/>
    <w:rsid w:val="63387548"/>
    <w:rsid w:val="660D1128"/>
    <w:rsid w:val="66AF0CE5"/>
    <w:rsid w:val="678C42CF"/>
    <w:rsid w:val="67981482"/>
    <w:rsid w:val="68F640F6"/>
    <w:rsid w:val="69510C4B"/>
    <w:rsid w:val="6AC537CF"/>
    <w:rsid w:val="6AF34358"/>
    <w:rsid w:val="6B3929BF"/>
    <w:rsid w:val="6BB67B6C"/>
    <w:rsid w:val="6BD334AD"/>
    <w:rsid w:val="6C360CAD"/>
    <w:rsid w:val="6CB26586"/>
    <w:rsid w:val="6E5B14A6"/>
    <w:rsid w:val="6E641B01"/>
    <w:rsid w:val="6EC30F1E"/>
    <w:rsid w:val="6F63625D"/>
    <w:rsid w:val="70BA1EAD"/>
    <w:rsid w:val="711710AD"/>
    <w:rsid w:val="711B255E"/>
    <w:rsid w:val="71925B1E"/>
    <w:rsid w:val="71972B8A"/>
    <w:rsid w:val="722327BB"/>
    <w:rsid w:val="7242215A"/>
    <w:rsid w:val="72BC65DA"/>
    <w:rsid w:val="74082F2F"/>
    <w:rsid w:val="74477EFB"/>
    <w:rsid w:val="74687E72"/>
    <w:rsid w:val="74A0760B"/>
    <w:rsid w:val="74D44721"/>
    <w:rsid w:val="75DA08FB"/>
    <w:rsid w:val="75F71D9D"/>
    <w:rsid w:val="7702209C"/>
    <w:rsid w:val="772669F1"/>
    <w:rsid w:val="77D01331"/>
    <w:rsid w:val="786E5355"/>
    <w:rsid w:val="79B52C22"/>
    <w:rsid w:val="7A0128FA"/>
    <w:rsid w:val="7A0773EE"/>
    <w:rsid w:val="7B871525"/>
    <w:rsid w:val="7BB51E06"/>
    <w:rsid w:val="7C387F7C"/>
    <w:rsid w:val="7C4371FA"/>
    <w:rsid w:val="7CBF14A8"/>
    <w:rsid w:val="7DBC2D93"/>
    <w:rsid w:val="7F0D1D41"/>
    <w:rsid w:val="7F3C0271"/>
    <w:rsid w:val="7F4E00D6"/>
    <w:rsid w:val="7FE83423"/>
    <w:rsid w:val="7FF32CE5"/>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3645</Words>
  <Characters>3805</Characters>
  <Lines>4</Lines>
  <Paragraphs>1</Paragraphs>
  <TotalTime>51</TotalTime>
  <ScaleCrop>false</ScaleCrop>
  <LinksUpToDate>false</LinksUpToDate>
  <CharactersWithSpaces>3840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嬌嬌</cp:lastModifiedBy>
  <cp:lastPrinted>2024-03-06T07:40:00Z</cp:lastPrinted>
  <dcterms:modified xsi:type="dcterms:W3CDTF">2026-03-24T03:25:39Z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96934721B1514D3FBAA28020338CE855_12</vt:lpwstr>
  </property>
  <property fmtid="{D5CDD505-2E9C-101B-9397-08002B2CF9AE}" pid="4" name="KSOTemplateDocerSaveRecord">
    <vt:lpwstr>eyJoZGlkIjoiZWQ0M2NkYjNiM2YzYzU3MjEzOTUwZGYzZjA2YjgyYTkiLCJ1c2VySWQiOiI1MjE5NjU1MDAifQ==</vt:lpwstr>
  </property>
</Properties>
</file>