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38A352">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82BD5E5">
      <w:pPr>
        <w:spacing w:line="560" w:lineRule="exact"/>
        <w:jc w:val="center"/>
        <w:rPr>
          <w:rFonts w:ascii="宋体" w:hAnsi="宋体" w:cs="宋体"/>
          <w:b/>
          <w:bCs/>
          <w:sz w:val="44"/>
          <w:szCs w:val="44"/>
        </w:rPr>
      </w:pPr>
    </w:p>
    <w:p w14:paraId="5BCE4E1C">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赵州镇人民政府</w:t>
      </w:r>
    </w:p>
    <w:p w14:paraId="3C9D7106">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4B6CF35">
      <w:pPr>
        <w:spacing w:line="560" w:lineRule="exact"/>
        <w:jc w:val="center"/>
        <w:rPr>
          <w:rFonts w:ascii="华文楷体" w:eastAsia="华文楷体"/>
          <w:sz w:val="32"/>
          <w:szCs w:val="32"/>
        </w:rPr>
      </w:pPr>
    </w:p>
    <w:p w14:paraId="65B999EB">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贯彻落实县委、</w:t>
      </w:r>
      <w:r>
        <w:rPr>
          <w:rFonts w:hint="eastAsia" w:ascii="仿宋" w:hAnsi="仿宋" w:eastAsia="仿宋" w:cs="仿宋"/>
          <w:sz w:val="32"/>
          <w:szCs w:val="32"/>
          <w:lang w:val="en-US" w:eastAsia="zh-CN"/>
        </w:rPr>
        <w:t>县</w:t>
      </w:r>
      <w:bookmarkStart w:id="0" w:name="_GoBack"/>
      <w:bookmarkEnd w:id="0"/>
      <w:r>
        <w:rPr>
          <w:rFonts w:hint="eastAsia" w:ascii="仿宋" w:hAnsi="仿宋" w:eastAsia="仿宋" w:cs="仿宋"/>
          <w:sz w:val="32"/>
          <w:szCs w:val="32"/>
        </w:rPr>
        <w:t>政府《全面落实预算绩效管理的实施意见》（[2019]77）文件精神，遵循“科学性、规范性、客观性和公正性”的原则，对</w:t>
      </w:r>
      <w:r>
        <w:rPr>
          <w:rFonts w:hint="eastAsia" w:ascii="仿宋" w:hAnsi="仿宋" w:eastAsia="仿宋" w:cs="仿宋"/>
          <w:sz w:val="32"/>
          <w:szCs w:val="32"/>
          <w:lang w:val="en-US" w:eastAsia="zh-CN"/>
        </w:rPr>
        <w:t>赵州镇人民政府</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年整体支出情况实施了财政支出绩效自评价，形成本评价报告。</w:t>
      </w:r>
    </w:p>
    <w:p w14:paraId="3C7767B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C72941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AFA5E88">
      <w:pPr>
        <w:snapToGrid w:val="0"/>
        <w:spacing w:line="520" w:lineRule="exact"/>
        <w:ind w:firstLine="640" w:firstLineChars="200"/>
        <w:rPr>
          <w:rFonts w:hint="eastAsia" w:ascii="仿宋" w:hAnsi="仿宋" w:eastAsia="仿宋" w:cs="仿宋"/>
          <w:sz w:val="32"/>
          <w:szCs w:val="32"/>
        </w:rPr>
      </w:pPr>
      <w:r>
        <w:rPr>
          <w:rFonts w:hint="eastAsia" w:ascii="仿宋_GB2312" w:hAnsi="仿宋" w:eastAsia="仿宋_GB2312" w:cs="Times New Roman"/>
          <w:sz w:val="32"/>
          <w:szCs w:val="32"/>
        </w:rPr>
        <w:t>1．</w:t>
      </w:r>
      <w:r>
        <w:rPr>
          <w:rFonts w:hint="eastAsia" w:ascii="仿宋" w:hAnsi="仿宋" w:eastAsia="仿宋" w:cs="仿宋"/>
          <w:sz w:val="32"/>
          <w:szCs w:val="32"/>
        </w:rPr>
        <w:t>主要职能</w:t>
      </w:r>
    </w:p>
    <w:p w14:paraId="5F2BA459">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rPr>
        <w:t>促进经济发展</w:t>
      </w:r>
    </w:p>
    <w:p w14:paraId="689B19CA">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搞好本乡镇产业规划，发展区域特色经济，为农民提供政策、信息，加强工业经济管理，大力发展第二、第三产业，配合民政、农口等部门做好服务工作。</w:t>
      </w:r>
    </w:p>
    <w:p w14:paraId="66838952">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rPr>
        <w:t>加强社会管理</w:t>
      </w:r>
    </w:p>
    <w:p w14:paraId="07B2B99A">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加强乡村财政资金监督管理，做好人口和计划生育管理工作，加强农村基层组织建设，加强农村精神文明建设和生态文明村建设，做好安全生产监督管理工作，做好征兵工作及民兵工作，做好环境保护，完善道路硬化。</w:t>
      </w:r>
    </w:p>
    <w:p w14:paraId="1D1B7914">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rPr>
        <w:t>提供公共服务</w:t>
      </w:r>
    </w:p>
    <w:p w14:paraId="2B1B1998">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组织乡村公共基础设施建设，推行和完善新型合作医疗制度，加强农村食品药品安全监管，做好农村扶贫和低保工作以及特困户救助和残疾人服务工作，做好社会保障工作。</w:t>
      </w:r>
    </w:p>
    <w:p w14:paraId="6F9F5E5E">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rPr>
        <w:t>维护农村稳定</w:t>
      </w:r>
    </w:p>
    <w:p w14:paraId="5550DEAA">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宣传贯彻国家法律法规和政策，打击邪教，排查农村矛盾纠纷，处理突发性、群体性事件。</w:t>
      </w:r>
    </w:p>
    <w:p w14:paraId="6DDBA28A">
      <w:pPr>
        <w:numPr>
          <w:ilvl w:val="0"/>
          <w:numId w:val="0"/>
        </w:num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机构情况。</w:t>
      </w:r>
    </w:p>
    <w:tbl>
      <w:tblPr>
        <w:tblStyle w:val="6"/>
        <w:tblpPr w:leftFromText="180" w:rightFromText="180" w:vertAnchor="text" w:horzAnchor="page" w:tblpX="2010" w:tblpY="41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90"/>
        <w:gridCol w:w="1590"/>
        <w:gridCol w:w="1545"/>
        <w:gridCol w:w="1215"/>
      </w:tblGrid>
      <w:tr w14:paraId="64B27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0" w:hRule="atLeast"/>
        </w:trPr>
        <w:tc>
          <w:tcPr>
            <w:tcW w:w="3790" w:type="dxa"/>
            <w:noWrap w:val="0"/>
            <w:vAlign w:val="center"/>
          </w:tcPr>
          <w:p w14:paraId="3D605348">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单位名称</w:t>
            </w:r>
          </w:p>
        </w:tc>
        <w:tc>
          <w:tcPr>
            <w:tcW w:w="1590" w:type="dxa"/>
            <w:noWrap w:val="0"/>
            <w:vAlign w:val="center"/>
          </w:tcPr>
          <w:p w14:paraId="0293815C">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单位</w:t>
            </w:r>
          </w:p>
          <w:p w14:paraId="0FB2258A">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性质</w:t>
            </w:r>
          </w:p>
        </w:tc>
        <w:tc>
          <w:tcPr>
            <w:tcW w:w="1545" w:type="dxa"/>
            <w:noWrap w:val="0"/>
            <w:vAlign w:val="center"/>
          </w:tcPr>
          <w:p w14:paraId="1CC54E3A">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单位</w:t>
            </w:r>
          </w:p>
          <w:p w14:paraId="567E8B73">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规格</w:t>
            </w:r>
          </w:p>
        </w:tc>
        <w:tc>
          <w:tcPr>
            <w:tcW w:w="1215" w:type="dxa"/>
            <w:noWrap w:val="0"/>
            <w:vAlign w:val="center"/>
          </w:tcPr>
          <w:p w14:paraId="146A3620">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经费保障</w:t>
            </w:r>
          </w:p>
          <w:p w14:paraId="21A7DAB6">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形式</w:t>
            </w:r>
          </w:p>
        </w:tc>
      </w:tr>
      <w:tr w14:paraId="58D9D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trPr>
        <w:tc>
          <w:tcPr>
            <w:tcW w:w="3790" w:type="dxa"/>
            <w:noWrap w:val="0"/>
            <w:vAlign w:val="center"/>
          </w:tcPr>
          <w:p w14:paraId="24F9C3D7">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赵县赵州镇人民政府</w:t>
            </w:r>
          </w:p>
        </w:tc>
        <w:tc>
          <w:tcPr>
            <w:tcW w:w="1590" w:type="dxa"/>
            <w:noWrap w:val="0"/>
            <w:vAlign w:val="center"/>
          </w:tcPr>
          <w:p w14:paraId="32C35C2E">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行政</w:t>
            </w:r>
          </w:p>
        </w:tc>
        <w:tc>
          <w:tcPr>
            <w:tcW w:w="1545" w:type="dxa"/>
            <w:noWrap w:val="0"/>
            <w:vAlign w:val="center"/>
          </w:tcPr>
          <w:p w14:paraId="7A6EC9FB">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正科级</w:t>
            </w:r>
          </w:p>
        </w:tc>
        <w:tc>
          <w:tcPr>
            <w:tcW w:w="1215" w:type="dxa"/>
            <w:noWrap w:val="0"/>
            <w:vAlign w:val="center"/>
          </w:tcPr>
          <w:p w14:paraId="09C8E283">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财政拨款</w:t>
            </w:r>
          </w:p>
        </w:tc>
      </w:tr>
    </w:tbl>
    <w:p w14:paraId="7C7DA8F4">
      <w:pPr>
        <w:snapToGrid w:val="0"/>
        <w:spacing w:line="520" w:lineRule="exact"/>
        <w:ind w:firstLine="640" w:firstLineChars="200"/>
        <w:rPr>
          <w:rFonts w:hint="eastAsia" w:ascii="仿宋" w:hAnsi="仿宋" w:eastAsia="仿宋" w:cs="仿宋"/>
          <w:sz w:val="32"/>
          <w:szCs w:val="32"/>
        </w:rPr>
      </w:pPr>
      <w:r>
        <w:rPr>
          <w:rFonts w:hint="eastAsia" w:ascii="仿宋_GB2312" w:hAnsi="仿宋" w:eastAsia="仿宋_GB2312" w:cs="Times New Roman"/>
          <w:sz w:val="32"/>
          <w:szCs w:val="32"/>
          <w:lang w:val="en-US" w:eastAsia="zh-CN"/>
        </w:rPr>
        <w:t>3、</w:t>
      </w:r>
      <w:r>
        <w:rPr>
          <w:rFonts w:hint="eastAsia" w:ascii="仿宋" w:hAnsi="仿宋" w:eastAsia="仿宋" w:cs="仿宋"/>
          <w:sz w:val="32"/>
          <w:szCs w:val="32"/>
        </w:rPr>
        <w:t>人员情况</w:t>
      </w:r>
    </w:p>
    <w:p w14:paraId="639EE290">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截止2025年底，年末实有人数98人，其中行政编人数58人、非参公事业人员40人。</w:t>
      </w:r>
    </w:p>
    <w:p w14:paraId="0C9D7198">
      <w:pPr>
        <w:pStyle w:val="5"/>
        <w:numPr>
          <w:ilvl w:val="0"/>
          <w:numId w:val="1"/>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资产情况</w:t>
      </w:r>
    </w:p>
    <w:p w14:paraId="667C1546">
      <w:pPr>
        <w:pStyle w:val="5"/>
        <w:numPr>
          <w:ilvl w:val="0"/>
          <w:numId w:val="0"/>
        </w:numPr>
        <w:rPr>
          <w:rFonts w:hint="eastAsia" w:ascii="仿宋" w:hAnsi="仿宋" w:eastAsia="仿宋" w:cs="仿宋"/>
          <w:sz w:val="32"/>
          <w:szCs w:val="32"/>
        </w:rPr>
      </w:pPr>
      <w:r>
        <w:rPr>
          <w:rFonts w:hint="eastAsia" w:ascii="仿宋" w:hAnsi="仿宋" w:eastAsia="仿宋" w:cs="仿宋"/>
          <w:sz w:val="32"/>
          <w:szCs w:val="32"/>
          <w:lang w:val="en-US" w:eastAsia="zh-CN"/>
        </w:rPr>
        <w:t xml:space="preserve">   2025年年末货币资金为32.33万元其中银行存款32.33万元，财政应返还额度0万元；房屋面积4681.69平米，价值320.7万元；车辆3辆其中轿车2辆、小型载客汽车1辆，价值36.72万元。</w:t>
      </w:r>
    </w:p>
    <w:p w14:paraId="10FA5AC5">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60F4F916">
      <w:pPr>
        <w:numPr>
          <w:ilvl w:val="0"/>
          <w:numId w:val="0"/>
        </w:numPr>
        <w:adjustRightInd w:val="0"/>
        <w:snapToGrid w:val="0"/>
        <w:spacing w:line="560" w:lineRule="exact"/>
        <w:ind w:firstLine="640" w:firstLineChars="200"/>
        <w:rPr>
          <w:rFonts w:hint="eastAsia" w:ascii="仿宋" w:hAnsi="仿宋" w:eastAsia="仿宋" w:cs="仿宋"/>
          <w:bCs/>
          <w:sz w:val="32"/>
          <w:szCs w:val="32"/>
        </w:rPr>
      </w:pPr>
      <w:r>
        <w:rPr>
          <w:rFonts w:hint="eastAsia" w:ascii="仿宋" w:hAnsi="仿宋" w:eastAsia="仿宋" w:cs="仿宋"/>
          <w:sz w:val="32"/>
          <w:szCs w:val="32"/>
          <w:lang w:val="en-US" w:eastAsia="zh-CN"/>
        </w:rPr>
        <w:t>2025年收入支出预算安排4426.53万元，其中基本支出1523.87万元。（其中：人员经费1239.87万元、日常公用经费284.00万元）项目支出2902.66万元。</w:t>
      </w:r>
    </w:p>
    <w:p w14:paraId="562A5B0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E61A60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highlight w:val="none"/>
          <w:lang w:val="en-US" w:eastAsia="zh-CN"/>
        </w:rPr>
        <w:t>2025年以来镇党委、镇政府在县委、县政府的坚强领导下，凝心聚力，攻坚克难，</w:t>
      </w:r>
      <w:r>
        <w:rPr>
          <w:rFonts w:hint="eastAsia" w:ascii="仿宋" w:hAnsi="仿宋" w:eastAsia="仿宋" w:cs="仿宋"/>
          <w:sz w:val="32"/>
          <w:szCs w:val="32"/>
          <w:lang w:val="en-US" w:eastAsia="zh-CN"/>
        </w:rPr>
        <w:t>各项工作稳中求进，整体呈现出积极向上的精神风貌</w:t>
      </w:r>
      <w:r>
        <w:rPr>
          <w:rFonts w:hint="eastAsia" w:ascii="仿宋" w:hAnsi="仿宋" w:eastAsia="仿宋" w:cs="仿宋"/>
          <w:sz w:val="32"/>
          <w:szCs w:val="32"/>
          <w:highlight w:val="none"/>
          <w:lang w:val="en-US" w:eastAsia="zh-CN"/>
        </w:rPr>
        <w:t>。</w:t>
      </w:r>
    </w:p>
    <w:p w14:paraId="24BC76A1">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highlight w:val="none"/>
          <w:lang w:val="en-US" w:eastAsia="zh-CN"/>
        </w:rPr>
        <w:t>经济态势稳中向好。</w:t>
      </w:r>
      <w:r>
        <w:rPr>
          <w:rFonts w:hint="eastAsia" w:ascii="仿宋" w:hAnsi="仿宋" w:eastAsia="仿宋" w:cs="仿宋"/>
          <w:sz w:val="32"/>
          <w:szCs w:val="32"/>
          <w:highlight w:val="none"/>
          <w:lang w:val="en-US" w:eastAsia="zh-CN"/>
        </w:rPr>
        <w:t>1-11月份全镇财政收入完成0.575亿元，固定资产投资完成5.0745亿元，规模以上工业总产值完成28.4亿元，同比增速8.02%。</w:t>
      </w:r>
    </w:p>
    <w:p w14:paraId="3256CBAF">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highlight w:val="none"/>
          <w:lang w:val="en-US" w:eastAsia="zh-CN"/>
        </w:rPr>
        <w:t>项目建设持续发展</w:t>
      </w:r>
      <w:r>
        <w:rPr>
          <w:rFonts w:hint="eastAsia" w:ascii="仿宋" w:hAnsi="仿宋" w:eastAsia="仿宋" w:cs="仿宋"/>
          <w:sz w:val="32"/>
          <w:szCs w:val="32"/>
          <w:highlight w:val="none"/>
          <w:lang w:val="en-US" w:eastAsia="zh-CN"/>
        </w:rPr>
        <w:t>。2025年以来对接江天机械、益丰纸业、中科新能源、统万珍极食</w:t>
      </w:r>
      <w:r>
        <w:rPr>
          <w:rFonts w:hint="eastAsia" w:ascii="仿宋" w:hAnsi="仿宋" w:eastAsia="仿宋" w:cs="仿宋"/>
          <w:color w:val="auto"/>
          <w:sz w:val="32"/>
          <w:szCs w:val="32"/>
          <w:highlight w:val="none"/>
          <w:lang w:val="en-US" w:eastAsia="zh-CN"/>
        </w:rPr>
        <w:t>品、德玉泉牧业</w:t>
      </w:r>
      <w:r>
        <w:rPr>
          <w:rFonts w:hint="eastAsia" w:ascii="仿宋" w:hAnsi="仿宋" w:eastAsia="仿宋" w:cs="仿宋"/>
          <w:sz w:val="32"/>
          <w:szCs w:val="32"/>
          <w:highlight w:val="none"/>
          <w:lang w:val="en-US" w:eastAsia="zh-CN"/>
        </w:rPr>
        <w:t>招商引资项目5个，其中江天机械、益丰纸业、中科新能源、</w:t>
      </w:r>
      <w:r>
        <w:rPr>
          <w:rFonts w:hint="eastAsia" w:ascii="仿宋" w:hAnsi="仿宋" w:eastAsia="仿宋" w:cs="仿宋"/>
          <w:color w:val="auto"/>
          <w:sz w:val="32"/>
          <w:szCs w:val="32"/>
          <w:highlight w:val="none"/>
          <w:lang w:val="en-US" w:eastAsia="zh-CN"/>
        </w:rPr>
        <w:t>德玉泉牧业</w:t>
      </w:r>
      <w:r>
        <w:rPr>
          <w:rFonts w:hint="eastAsia" w:ascii="仿宋" w:hAnsi="仿宋" w:eastAsia="仿宋" w:cs="仿宋"/>
          <w:sz w:val="32"/>
          <w:szCs w:val="32"/>
          <w:highlight w:val="none"/>
          <w:lang w:val="en-US" w:eastAsia="zh-CN"/>
        </w:rPr>
        <w:t>4个为亿元项目，总投资9.12亿元。益丰纸业、中科新能源、统万珍极食</w:t>
      </w:r>
      <w:r>
        <w:rPr>
          <w:rFonts w:hint="eastAsia" w:ascii="仿宋" w:hAnsi="仿宋" w:eastAsia="仿宋" w:cs="仿宋"/>
          <w:color w:val="auto"/>
          <w:sz w:val="32"/>
          <w:szCs w:val="32"/>
          <w:highlight w:val="none"/>
          <w:lang w:val="en-US" w:eastAsia="zh-CN"/>
        </w:rPr>
        <w:t>品、德玉泉牧业</w:t>
      </w:r>
      <w:r>
        <w:rPr>
          <w:rFonts w:hint="eastAsia" w:ascii="仿宋" w:hAnsi="仿宋" w:eastAsia="仿宋" w:cs="仿宋"/>
          <w:sz w:val="32"/>
          <w:szCs w:val="32"/>
          <w:highlight w:val="none"/>
          <w:lang w:val="en-US" w:eastAsia="zh-CN"/>
        </w:rPr>
        <w:t>4个项目已顺利签约，统万珍极食</w:t>
      </w:r>
      <w:r>
        <w:rPr>
          <w:rFonts w:hint="eastAsia" w:ascii="仿宋" w:hAnsi="仿宋" w:eastAsia="仿宋" w:cs="仿宋"/>
          <w:color w:val="auto"/>
          <w:sz w:val="32"/>
          <w:szCs w:val="32"/>
          <w:highlight w:val="none"/>
          <w:lang w:val="en-US" w:eastAsia="zh-CN"/>
        </w:rPr>
        <w:t>品、中科新能源等项目已开工建设。江天机械、益丰纸业土地指标已批复摘牌。</w:t>
      </w:r>
    </w:p>
    <w:p w14:paraId="683A8515">
      <w:pPr>
        <w:keepNext w:val="0"/>
        <w:keepLines w:val="0"/>
        <w:pageBreakBefore w:val="0"/>
        <w:kinsoku/>
        <w:wordWrap/>
        <w:overflowPunct/>
        <w:topLinePunct w:val="0"/>
        <w:autoSpaceDE/>
        <w:autoSpaceDN/>
        <w:bidi w:val="0"/>
        <w:adjustRightInd/>
        <w:spacing w:line="600" w:lineRule="exact"/>
        <w:ind w:firstLine="640" w:firstLineChars="200"/>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b w:val="0"/>
          <w:bCs w:val="0"/>
          <w:sz w:val="32"/>
          <w:szCs w:val="32"/>
          <w:highlight w:val="none"/>
          <w:lang w:val="en-US" w:eastAsia="zh-CN"/>
        </w:rPr>
        <w:t>县城建设成效显著。</w:t>
      </w:r>
      <w:r>
        <w:rPr>
          <w:rFonts w:hint="eastAsia" w:ascii="仿宋" w:hAnsi="仿宋" w:eastAsia="仿宋" w:cs="仿宋"/>
          <w:sz w:val="32"/>
          <w:szCs w:val="32"/>
          <w:highlight w:val="none"/>
          <w:lang w:val="en-US" w:eastAsia="zh-CN"/>
        </w:rPr>
        <w:t>一是积极做好县城建设地方事务工作。2025年以来，累计完成征地360余亩，有效保障了重点项目与公共建设的用地需求。二是大力开展城区小街小巷整治。对南门村育才街、县前村改革街、党校东街、水利局家属院一巷、二巷、三巷6条小街小巷进行整</w:t>
      </w:r>
      <w:r>
        <w:rPr>
          <w:rFonts w:hint="eastAsia" w:ascii="仿宋" w:hAnsi="仿宋" w:eastAsia="仿宋" w:cs="仿宋"/>
          <w:kern w:val="2"/>
          <w:sz w:val="32"/>
          <w:szCs w:val="32"/>
          <w:highlight w:val="none"/>
          <w:lang w:val="en-US" w:eastAsia="zh-CN" w:bidi="ar-SA"/>
        </w:rPr>
        <w:t>治提升。三是全力服务重点片区与项目建设。</w:t>
      </w:r>
      <w:r>
        <w:rPr>
          <w:rFonts w:hint="eastAsia" w:ascii="仿宋" w:hAnsi="仿宋" w:eastAsia="仿宋" w:cs="仿宋"/>
          <w:b w:val="0"/>
          <w:bCs/>
          <w:i w:val="0"/>
          <w:color w:val="000000"/>
          <w:kern w:val="0"/>
          <w:sz w:val="32"/>
          <w:szCs w:val="32"/>
          <w:u w:val="none"/>
          <w:lang w:val="en-US" w:eastAsia="zh-CN"/>
        </w:rPr>
        <w:t>积极做好西关、西门新型城镇化城市更新片区和城中村改造项目建设及赵州铜锣湾广场项目协调服务。同时，</w:t>
      </w:r>
      <w:r>
        <w:rPr>
          <w:rFonts w:hint="eastAsia" w:ascii="仿宋" w:hAnsi="仿宋" w:eastAsia="仿宋" w:cs="仿宋"/>
          <w:kern w:val="2"/>
          <w:sz w:val="32"/>
          <w:szCs w:val="32"/>
          <w:lang w:val="en-US" w:eastAsia="zh-CN" w:bidi="ar-SA"/>
        </w:rPr>
        <w:t>配合做好</w:t>
      </w:r>
      <w:r>
        <w:rPr>
          <w:rFonts w:hint="eastAsia" w:ascii="仿宋" w:hAnsi="仿宋" w:eastAsia="仿宋" w:cs="仿宋"/>
          <w:b w:val="0"/>
          <w:bCs w:val="0"/>
          <w:sz w:val="32"/>
          <w:szCs w:val="32"/>
          <w:lang w:val="en-US" w:eastAsia="zh-CN"/>
        </w:rPr>
        <w:t>城隍庙历史文化街区和西关历史文化街区综合整治</w:t>
      </w:r>
      <w:r>
        <w:rPr>
          <w:rFonts w:hint="eastAsia" w:ascii="仿宋" w:hAnsi="仿宋" w:eastAsia="仿宋" w:cs="仿宋"/>
          <w:kern w:val="2"/>
          <w:sz w:val="32"/>
          <w:szCs w:val="32"/>
          <w:lang w:val="en-US" w:eastAsia="zh-CN" w:bidi="ar-SA"/>
        </w:rPr>
        <w:t>等重点项目建设</w:t>
      </w:r>
      <w:r>
        <w:rPr>
          <w:rFonts w:hint="eastAsia" w:ascii="仿宋" w:hAnsi="仿宋" w:eastAsia="仿宋" w:cs="仿宋"/>
          <w:kern w:val="2"/>
          <w:sz w:val="32"/>
          <w:szCs w:val="32"/>
          <w:highlight w:val="none"/>
          <w:lang w:val="en-US" w:eastAsia="zh-CN" w:bidi="ar-SA"/>
        </w:rPr>
        <w:t>。</w:t>
      </w:r>
    </w:p>
    <w:p w14:paraId="5CE5869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FEB41E8">
      <w:pPr>
        <w:spacing w:line="560" w:lineRule="exact"/>
        <w:rPr>
          <w:rFonts w:hint="eastAsia" w:ascii="仿宋" w:hAnsi="仿宋" w:eastAsia="仿宋" w:cs="仿宋"/>
          <w:sz w:val="32"/>
          <w:szCs w:val="32"/>
        </w:rPr>
      </w:pPr>
      <w:r>
        <w:rPr>
          <w:rFonts w:hint="eastAsia" w:ascii="仿宋" w:hAnsi="仿宋" w:eastAsia="仿宋" w:cs="楷体_GB2312"/>
          <w:b/>
          <w:bCs/>
          <w:sz w:val="32"/>
          <w:szCs w:val="32"/>
        </w:rPr>
        <w:t xml:space="preserve">    </w:t>
      </w:r>
      <w:r>
        <w:rPr>
          <w:rFonts w:hint="eastAsia" w:ascii="仿宋" w:hAnsi="仿宋" w:eastAsia="仿宋" w:cs="仿宋"/>
          <w:bCs/>
          <w:sz w:val="32"/>
          <w:szCs w:val="32"/>
        </w:rPr>
        <w:t>（一）自评的组织工作</w:t>
      </w:r>
    </w:p>
    <w:p w14:paraId="454A337D">
      <w:pPr>
        <w:keepNext w:val="0"/>
        <w:keepLines w:val="0"/>
        <w:pageBreakBefore w:val="0"/>
        <w:widowControl w:val="0"/>
        <w:kinsoku/>
        <w:wordWrap/>
        <w:overflowPunct/>
        <w:topLinePunct w:val="0"/>
        <w:autoSpaceDE/>
        <w:autoSpaceDN/>
        <w:bidi w:val="0"/>
        <w:adjustRightInd/>
        <w:snapToGrid/>
        <w:spacing w:line="20" w:lineRule="atLeast"/>
        <w:ind w:right="0" w:righ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eastAsia="zh-CN"/>
        </w:rPr>
        <w:t>我镇预算项目安排资金</w:t>
      </w:r>
      <w:r>
        <w:rPr>
          <w:rFonts w:hint="eastAsia" w:ascii="仿宋" w:hAnsi="仿宋" w:eastAsia="仿宋" w:cs="仿宋"/>
          <w:sz w:val="32"/>
          <w:szCs w:val="32"/>
          <w:lang w:val="en-US" w:eastAsia="zh-CN"/>
        </w:rPr>
        <w:t>4751.16万元，预算支出4362.02万元。总体完成率91.81%。其中大学生社区工作者费用项目763.61万元、关于下达2024年中央专项彩票公益金支持地方社会公益事业发展资金预算的通知冀财综[2024]17号项目128.04万元、乡村振兴（人居环境整治）项目49.99万元、林地管护费（迎宾公园西扩区）项目35.20万元、服务群众专项（党报党刊征订经费）项目17.06万元、公益项目占地补偿1700.58万元等共支出计4362.02万元。</w:t>
      </w:r>
    </w:p>
    <w:p w14:paraId="7A06F5BF">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kern w:val="2"/>
          <w:sz w:val="32"/>
          <w:szCs w:val="32"/>
          <w:lang w:val="en-US" w:eastAsia="zh-CN" w:bidi="ar-SA"/>
        </w:rPr>
        <w:t>根据项目实施事件与计划时间的差异情况标准衡量，赵州镇人民政府履职活动按计划如期实施，预算项目与项目年度计划数及预期的资金量均相匹配，绩效目标合理，2025年财政预算安排赵州镇人民政府部门预算</w:t>
      </w:r>
      <w:r>
        <w:rPr>
          <w:rFonts w:hint="eastAsia" w:ascii="仿宋" w:hAnsi="仿宋" w:eastAsia="仿宋" w:cs="仿宋"/>
          <w:sz w:val="32"/>
          <w:szCs w:val="32"/>
          <w:lang w:val="en-US" w:eastAsia="zh-CN"/>
        </w:rPr>
        <w:t>4751.16</w:t>
      </w:r>
      <w:r>
        <w:rPr>
          <w:rFonts w:hint="eastAsia" w:ascii="仿宋" w:hAnsi="仿宋" w:eastAsia="仿宋" w:cs="仿宋"/>
          <w:kern w:val="2"/>
          <w:sz w:val="32"/>
          <w:szCs w:val="32"/>
          <w:lang w:val="en-US" w:eastAsia="zh-CN" w:bidi="ar-SA"/>
        </w:rPr>
        <w:t>万元，实际到位</w:t>
      </w:r>
      <w:r>
        <w:rPr>
          <w:rFonts w:hint="eastAsia" w:ascii="仿宋" w:hAnsi="仿宋" w:eastAsia="仿宋" w:cs="仿宋"/>
          <w:sz w:val="32"/>
          <w:szCs w:val="32"/>
          <w:lang w:val="en-US" w:eastAsia="zh-CN"/>
        </w:rPr>
        <w:t>4751.16</w:t>
      </w:r>
      <w:r>
        <w:rPr>
          <w:rFonts w:hint="eastAsia" w:ascii="仿宋" w:hAnsi="仿宋" w:eastAsia="仿宋" w:cs="仿宋"/>
          <w:kern w:val="2"/>
          <w:sz w:val="32"/>
          <w:szCs w:val="32"/>
          <w:lang w:val="en-US" w:eastAsia="zh-CN" w:bidi="ar-SA"/>
        </w:rPr>
        <w:t>万元，资金到位率100%。</w:t>
      </w:r>
    </w:p>
    <w:p w14:paraId="490435F8">
      <w:pPr>
        <w:numPr>
          <w:ilvl w:val="0"/>
          <w:numId w:val="3"/>
        </w:numPr>
        <w:spacing w:line="560" w:lineRule="exact"/>
        <w:rPr>
          <w:rFonts w:hint="eastAsia" w:ascii="仿宋" w:hAnsi="仿宋" w:eastAsia="仿宋" w:cs="仿宋"/>
          <w:bCs/>
          <w:sz w:val="32"/>
          <w:szCs w:val="32"/>
        </w:rPr>
      </w:pPr>
      <w:r>
        <w:rPr>
          <w:rFonts w:hint="eastAsia" w:ascii="仿宋" w:hAnsi="仿宋" w:eastAsia="仿宋" w:cs="仿宋"/>
          <w:bCs/>
          <w:sz w:val="32"/>
          <w:szCs w:val="32"/>
        </w:rPr>
        <w:t>自评的方法和过程</w:t>
      </w:r>
    </w:p>
    <w:p w14:paraId="17214AC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根据财政厅的要求及赵州镇人民政府履职活动项目特点，对绩效评价指标体系划分为投入、过程、产出与效益3个一级指标。从赵州镇人民政府履职活动实施时间与计划时间的执行的差异情况、项目绩效目标的合理性、绩效指标明确性、绩效指标完成率、项目立项规范性，项目资金到位率、资金到位及时率、资金使用率、项目成本控制率，业务管理制度和财务管理制度的健全性、制度执行的有效性、项目质量的可控性、资金使用合规安全性、固定资产管理情况及固定资产利用率，会计信息管理的规范完整性，同时结合赵州镇人民政府履职活动项目的特点构成完整的绩效评价指标体系。</w:t>
      </w:r>
    </w:p>
    <w:p w14:paraId="7B4A5819">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kern w:val="2"/>
          <w:sz w:val="32"/>
          <w:szCs w:val="32"/>
          <w:lang w:val="en-US" w:eastAsia="zh-CN" w:bidi="ar-SA"/>
        </w:rPr>
        <w:t>健全各项管理制度，并制定相应的支出管理办法、赵州镇政府机关各项工作规定相关管理制度，且制度合法、合规、完整，同时制度也得到有效地执行，遵守相关法律法规和业务管理规定；为确保工作计划推进，在具体项目责任分解中对应相关科室和责任人，明确目标、落实责任。项目实施过程中制定了相应的项目质量要求和标准，并积极采取了必需的控制措施，保质保量完成工作计划。</w:t>
      </w:r>
    </w:p>
    <w:p w14:paraId="120B249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赵州镇人民政府充分发挥政府职能作用，履职活动期间各项工作按计划保质保量完成，2025年认真落实全面从严治党责任，深化党风廉政建设和作风整顿，重新修订多项制度，积极抓好事务、做好服务，以促进赵县经济和社会事业全面发展，达到项目预期目标。</w:t>
      </w:r>
    </w:p>
    <w:p w14:paraId="7ECA23F9">
      <w:pPr>
        <w:pStyle w:val="5"/>
      </w:pPr>
    </w:p>
    <w:p w14:paraId="4CEB5474">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E81329B">
      <w:pPr>
        <w:numPr>
          <w:ilvl w:val="0"/>
          <w:numId w:val="4"/>
        </w:num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总体绩效目标实现情况</w:t>
      </w:r>
    </w:p>
    <w:p w14:paraId="16F3DBC4">
      <w:pPr>
        <w:spacing w:line="560" w:lineRule="exact"/>
        <w:ind w:firstLine="640" w:firstLineChars="200"/>
        <w:rPr>
          <w:rFonts w:hint="eastAsia" w:ascii="仿宋" w:hAnsi="仿宋" w:eastAsia="仿宋" w:cs="仿宋"/>
          <w:b/>
          <w:bCs/>
          <w:sz w:val="32"/>
          <w:szCs w:val="32"/>
        </w:rPr>
      </w:pPr>
      <w:r>
        <w:rPr>
          <w:rFonts w:hint="eastAsia" w:ascii="仿宋" w:hAnsi="仿宋" w:eastAsia="仿宋" w:cs="仿宋"/>
          <w:kern w:val="2"/>
          <w:sz w:val="32"/>
          <w:szCs w:val="32"/>
          <w:lang w:val="en-US" w:eastAsia="zh-CN" w:bidi="ar-SA"/>
        </w:rPr>
        <w:t>加强基层党组织建设，持续抓好村级组织活动场所管理使用、软弱涣散党组织整顿、发展党员、后备干部培养等，完善巩固现有村集体经济发展基础，积极探索新发展模式，盘活资产资源，努力把基层党组织打造成坚强的战斗堡垒。加大党建示范点培育力度，总结提炼经验，以先进支部示范带动推动后进支部提升，努力促进党建工作提质增效。加强党员干部队伍建设。从思想政治、业务能力、工作作风等方面加强党员教育管理力度，激励党员干部干事创业的热情，着力打造一支能担重任、作风优良的高素质干部队伍。加强党风廉政建设，持续深入开展</w:t>
      </w:r>
      <w:r>
        <w:rPr>
          <w:rFonts w:hint="eastAsia" w:ascii="仿宋" w:hAnsi="仿宋" w:eastAsia="仿宋" w:cs="仿宋"/>
          <w:b w:val="0"/>
          <w:bCs w:val="0"/>
          <w:i w:val="0"/>
          <w:iCs w:val="0"/>
          <w:caps w:val="0"/>
          <w:color w:val="000000" w:themeColor="text1"/>
          <w:spacing w:val="0"/>
          <w:kern w:val="0"/>
          <w:sz w:val="32"/>
          <w:szCs w:val="32"/>
          <w:shd w:val="clear" w:fill="FFFFFF"/>
          <w:lang w:val="en-US" w:eastAsia="zh-CN" w:bidi="ar"/>
        </w:rPr>
        <w:t>群众身边不正之风和腐败问题专项整治，</w:t>
      </w:r>
      <w:r>
        <w:rPr>
          <w:rFonts w:hint="eastAsia" w:ascii="仿宋" w:hAnsi="仿宋" w:eastAsia="仿宋" w:cs="仿宋"/>
          <w:kern w:val="2"/>
          <w:sz w:val="32"/>
          <w:szCs w:val="32"/>
          <w:lang w:val="en-US" w:eastAsia="zh-CN" w:bidi="ar-SA"/>
        </w:rPr>
        <w:t>严格落实全面从严治党主体责任和监督责任，强化监督执纪“四种形态”运用，抓早抓小、防微杜渐，确保干部廉洁自律。</w:t>
      </w:r>
      <w:r>
        <w:rPr>
          <w:rFonts w:hint="eastAsia" w:ascii="仿宋" w:hAnsi="仿宋" w:eastAsia="仿宋" w:cs="仿宋"/>
          <w:b/>
          <w:bCs/>
          <w:sz w:val="32"/>
          <w:szCs w:val="32"/>
        </w:rPr>
        <w:t xml:space="preserve">    </w:t>
      </w:r>
    </w:p>
    <w:p w14:paraId="0A6487AE">
      <w:p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（二）分项绩效目标实现情况及指标分析</w:t>
      </w:r>
    </w:p>
    <w:p w14:paraId="67F675D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b w:val="0"/>
          <w:bCs w:val="0"/>
          <w:sz w:val="32"/>
          <w:szCs w:val="32"/>
          <w:lang w:val="en-US" w:eastAsia="zh-CN"/>
        </w:rPr>
        <w:t>1、加大项目建设。</w:t>
      </w:r>
      <w:r>
        <w:rPr>
          <w:rFonts w:hint="eastAsia" w:ascii="仿宋" w:hAnsi="仿宋" w:eastAsia="仿宋" w:cs="仿宋"/>
          <w:kern w:val="2"/>
          <w:sz w:val="32"/>
          <w:szCs w:val="32"/>
          <w:lang w:val="en-US" w:eastAsia="zh-CN" w:bidi="ar-SA"/>
        </w:rPr>
        <w:t>坚持“项目为王”思路不动摇，积极做好</w:t>
      </w:r>
      <w:r>
        <w:rPr>
          <w:rFonts w:hint="eastAsia" w:ascii="仿宋" w:hAnsi="仿宋" w:eastAsia="仿宋" w:cs="仿宋"/>
          <w:b w:val="0"/>
          <w:bCs w:val="0"/>
          <w:kern w:val="2"/>
          <w:sz w:val="32"/>
          <w:szCs w:val="32"/>
          <w:lang w:val="en-US" w:eastAsia="zh-CN" w:bidi="ar-SA"/>
        </w:rPr>
        <w:t>河北阔能、河北泰汇2个分布式光伏发电项目签约落地工作。加快推进赵州</w:t>
      </w:r>
      <w:r>
        <w:rPr>
          <w:rFonts w:hint="eastAsia" w:ascii="仿宋" w:hAnsi="仿宋" w:eastAsia="仿宋" w:cs="仿宋"/>
          <w:b w:val="0"/>
          <w:bCs w:val="0"/>
          <w:color w:val="auto"/>
          <w:sz w:val="32"/>
          <w:szCs w:val="32"/>
          <w:lang w:val="en-US" w:eastAsia="zh-CN"/>
        </w:rPr>
        <w:t>•</w:t>
      </w:r>
      <w:r>
        <w:rPr>
          <w:rFonts w:hint="eastAsia" w:ascii="仿宋" w:hAnsi="仿宋" w:eastAsia="仿宋" w:cs="仿宋"/>
          <w:b w:val="0"/>
          <w:bCs w:val="0"/>
          <w:kern w:val="2"/>
          <w:sz w:val="32"/>
          <w:szCs w:val="32"/>
          <w:lang w:val="en-US" w:eastAsia="zh-CN" w:bidi="ar-SA"/>
        </w:rPr>
        <w:t>禅悦度假酒店、弘纬纺织、盖帛纺织、中科新能源等在建项目建设，确保顺利竣工、投产达效。</w:t>
      </w:r>
      <w:r>
        <w:rPr>
          <w:rFonts w:hint="eastAsia" w:ascii="仿宋" w:hAnsi="仿宋" w:eastAsia="仿宋" w:cs="仿宋"/>
          <w:b w:val="0"/>
          <w:bCs w:val="0"/>
          <w:sz w:val="32"/>
          <w:szCs w:val="32"/>
          <w:lang w:val="en-US" w:eastAsia="zh-CN"/>
        </w:rPr>
        <w:t>激活文旅产业新动能，</w:t>
      </w:r>
      <w:r>
        <w:rPr>
          <w:rFonts w:hint="eastAsia" w:ascii="仿宋" w:hAnsi="仿宋" w:eastAsia="仿宋" w:cs="仿宋"/>
          <w:kern w:val="2"/>
          <w:sz w:val="32"/>
          <w:szCs w:val="32"/>
          <w:lang w:val="en-US" w:eastAsia="zh-CN" w:bidi="ar-SA"/>
        </w:rPr>
        <w:t>围绕“赵州桥”“赵州茶”文旅品牌，打造精品旅游路线，完善“吃住行游购娱”旅游要素，加快推进多业态、多元化经营。协调做好赵州茶苑产业发展基地等文旅项目建设。</w:t>
      </w:r>
    </w:p>
    <w:p w14:paraId="4D3391B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b w:val="0"/>
          <w:bCs w:val="0"/>
          <w:sz w:val="32"/>
          <w:szCs w:val="32"/>
          <w:lang w:val="en-US" w:eastAsia="zh-CN"/>
        </w:rPr>
        <w:t>2、加快城市更新。</w:t>
      </w:r>
      <w:r>
        <w:rPr>
          <w:rFonts w:hint="eastAsia" w:ascii="仿宋" w:hAnsi="仿宋" w:eastAsia="仿宋" w:cs="仿宋"/>
          <w:sz w:val="32"/>
          <w:szCs w:val="32"/>
          <w:highlight w:val="none"/>
          <w:lang w:val="en-US" w:eastAsia="zh-CN"/>
        </w:rPr>
        <w:t>做好省级文明城复检、园林城复检及国家卫生城验收，</w:t>
      </w:r>
      <w:r>
        <w:rPr>
          <w:rFonts w:hint="eastAsia" w:ascii="仿宋" w:hAnsi="仿宋" w:eastAsia="仿宋" w:cs="仿宋"/>
          <w:kern w:val="2"/>
          <w:sz w:val="32"/>
          <w:szCs w:val="32"/>
          <w:lang w:val="en-US" w:eastAsia="zh-CN" w:bidi="ar-SA"/>
        </w:rPr>
        <w:t>积极做好赵州铜锣湾广场项目建设协调服务，配合做好历史文化名城和街区保护提升，助力国家历史文化名城创建。巩固深化国家卫生县创建成果，加大城区精细化管理，积极推进</w:t>
      </w:r>
      <w:r>
        <w:rPr>
          <w:rFonts w:hint="eastAsia" w:ascii="仿宋" w:hAnsi="仿宋" w:eastAsia="仿宋" w:cs="仿宋"/>
          <w:b w:val="0"/>
          <w:bCs w:val="0"/>
          <w:color w:val="auto"/>
          <w:sz w:val="32"/>
          <w:szCs w:val="32"/>
          <w:lang w:val="en-US" w:eastAsia="zh-CN"/>
        </w:rPr>
        <w:t>小街小巷整治提升，继续拓展打造精品街巷。</w:t>
      </w:r>
      <w:r>
        <w:rPr>
          <w:rFonts w:hint="eastAsia" w:ascii="仿宋" w:hAnsi="仿宋" w:eastAsia="仿宋" w:cs="仿宋"/>
          <w:kern w:val="2"/>
          <w:sz w:val="32"/>
          <w:szCs w:val="32"/>
          <w:lang w:val="en-US" w:eastAsia="zh-CN" w:bidi="ar-SA"/>
        </w:rPr>
        <w:t>积极稳妥推进城中村和老旧小区改造，建立健全居民小区物业监管，提升物业管理水平。推进示范社区打造，投资70万元打造石塔社区、升华街社区2个示范社区。</w:t>
      </w:r>
    </w:p>
    <w:p w14:paraId="06D75E2A">
      <w:pPr>
        <w:pStyle w:val="5"/>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b w:val="0"/>
          <w:bCs w:val="0"/>
          <w:sz w:val="32"/>
          <w:szCs w:val="32"/>
          <w:lang w:val="en-US" w:eastAsia="zh-CN"/>
        </w:rPr>
        <w:t>3、推进乡村振兴。</w:t>
      </w:r>
      <w:r>
        <w:rPr>
          <w:rFonts w:hint="eastAsia" w:ascii="仿宋" w:hAnsi="仿宋" w:eastAsia="仿宋" w:cs="仿宋"/>
          <w:kern w:val="2"/>
          <w:sz w:val="32"/>
          <w:szCs w:val="32"/>
          <w:lang w:val="en-US" w:eastAsia="zh-CN" w:bidi="ar-SA"/>
        </w:rPr>
        <w:t>突出抓好粮食安全和种源安全，严守耕地红线，坚决遏制耕地“非农化”，防止“非粮化”，严格落实粮食安全党政同责，确保播种面积稳定在13万亩以上、总产1.5 亿斤以上，确保粮食生产安全稳定。大力推进农村人居环境整治提升，深入开展生活垃圾处理和生活污水治理等。积极争取农业农村局项目资金、一事一议资金，持续完善提升农村基础设施。2025年</w:t>
      </w:r>
      <w:r>
        <w:rPr>
          <w:rFonts w:hint="eastAsia" w:ascii="仿宋" w:hAnsi="仿宋" w:eastAsia="仿宋" w:cs="仿宋"/>
          <w:color w:val="000000" w:themeColor="text1"/>
          <w:kern w:val="2"/>
          <w:sz w:val="32"/>
          <w:szCs w:val="32"/>
          <w:lang w:val="en-US" w:eastAsia="zh-CN" w:bidi="ar-SA"/>
        </w:rPr>
        <w:t>计划完成东卜庄、东门、付刘庄、刘家庄、南门等10个村36条巷道13365.6平米硬化。计划</w:t>
      </w:r>
      <w:r>
        <w:rPr>
          <w:rFonts w:hint="eastAsia" w:ascii="仿宋" w:hAnsi="仿宋" w:eastAsia="仿宋" w:cs="仿宋"/>
          <w:kern w:val="2"/>
          <w:sz w:val="32"/>
          <w:szCs w:val="32"/>
          <w:lang w:val="en-US" w:eastAsia="zh-CN" w:bidi="ar-SA"/>
        </w:rPr>
        <w:t>投资160万元完成小李庄、苏村2个革命老区项目建设，同时在原有乡村示范村的基础上再打造8个和美乡村示范村。继续加大土地流转，引导各村立足资源优势积极发展壮大村集体经济。</w:t>
      </w:r>
    </w:p>
    <w:p w14:paraId="228E7E77">
      <w:pPr>
        <w:pStyle w:val="5"/>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sz w:val="32"/>
          <w:szCs w:val="32"/>
          <w:lang w:val="en-US" w:eastAsia="zh-CN"/>
        </w:rPr>
        <w:t>4、改善生态环境。</w:t>
      </w:r>
      <w:r>
        <w:rPr>
          <w:rFonts w:hint="eastAsia" w:ascii="仿宋" w:hAnsi="仿宋" w:eastAsia="仿宋" w:cs="仿宋"/>
          <w:b w:val="0"/>
          <w:bCs w:val="0"/>
          <w:color w:val="auto"/>
          <w:sz w:val="32"/>
          <w:szCs w:val="32"/>
          <w:lang w:val="en-US" w:eastAsia="zh-CN"/>
        </w:rPr>
        <w:t>巩固拓展大气污染防治成果，坚持源头治理、系统治理和综合治理，持续开展工业企业污染管控、扬尘抑尘治理、道路场站排查整治、自建房管控、小街小巷水洗机扫、散乱污清理、露天禁烧等工作</w:t>
      </w:r>
      <w:r>
        <w:rPr>
          <w:rFonts w:hint="eastAsia" w:ascii="仿宋" w:hAnsi="仿宋" w:eastAsia="仿宋" w:cs="仿宋"/>
          <w:kern w:val="2"/>
          <w:sz w:val="32"/>
          <w:szCs w:val="32"/>
          <w:lang w:val="en-US" w:eastAsia="zh-CN" w:bidi="ar-SA"/>
        </w:rPr>
        <w:t>，全力推动空气质量持续好转。严格落实“河长制”“林长制”，确保两级巡河率、巡林率双100%。进一步加强洨河流域监管，统筹水环境治理、水生态保护、水资源利用，常态化抓好土壤修复治理，加大植树绿化力度，打造绿意盎然的城乡环境。</w:t>
      </w:r>
    </w:p>
    <w:p w14:paraId="25BC7D8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val="0"/>
          <w:bCs w:val="0"/>
          <w:sz w:val="32"/>
          <w:szCs w:val="32"/>
          <w:lang w:val="en-US" w:eastAsia="zh-CN"/>
        </w:rPr>
        <w:t>5、加强社会治理。</w:t>
      </w:r>
      <w:r>
        <w:rPr>
          <w:rFonts w:hint="eastAsia" w:ascii="仿宋" w:hAnsi="仿宋" w:eastAsia="仿宋" w:cs="仿宋"/>
          <w:kern w:val="2"/>
          <w:sz w:val="32"/>
          <w:szCs w:val="32"/>
          <w:lang w:val="en-US" w:eastAsia="zh-CN" w:bidi="ar-SA"/>
        </w:rPr>
        <w:t>持续开展脱贫攻坚问题整改，巩固拓展脱贫攻坚成果，扎实推进脱贫攻坚与乡村振兴有效衔接。全力做好信访维稳，特别是重要节点和敏感时期信访稳定，确保将信访人稳控在当地，实现“河北不聚、北京不去”目标。坚持底线思维和“大安全”理念，持续做好防汛抗旱、消防安全、燃气安全、食品安全、企业安全等工作，确保我镇形势持续安全稳定。</w:t>
      </w:r>
    </w:p>
    <w:p w14:paraId="6DB02164">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3B98CAD">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针对预算项目实际情况，通过座谈调研、查阅项目管理制度、财务管理制度等内业资料的形式，采用比较分析法，辅以公众评判法对本项目专项资金使用情况进行绩效评价。经评价总体得分96.42分，得出综合绩效评价等级为优秀。</w:t>
      </w:r>
    </w:p>
    <w:p w14:paraId="784132D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64937F3">
      <w:p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（一）存在的主要问题</w:t>
      </w:r>
    </w:p>
    <w:p w14:paraId="18E75F7E">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sz w:val="32"/>
          <w:szCs w:val="32"/>
        </w:rPr>
        <w:t>1</w:t>
      </w:r>
      <w:r>
        <w:rPr>
          <w:rFonts w:hint="eastAsia" w:ascii="仿宋" w:hAnsi="仿宋" w:eastAsia="仿宋" w:cs="仿宋"/>
          <w:kern w:val="2"/>
          <w:sz w:val="32"/>
          <w:szCs w:val="32"/>
          <w:lang w:val="en-US" w:eastAsia="zh-CN" w:bidi="ar-SA"/>
        </w:rPr>
        <w:t>、因业务水平有限，年初预算的编制支出类别上理解不够，比如基本支出和项目支出，在日常业务操作时容易出错。</w:t>
      </w:r>
    </w:p>
    <w:p w14:paraId="283E10D0">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2、预决算项目支出编制需进一步明确、精细化。同时项目执行率需进一步提高。</w:t>
      </w:r>
    </w:p>
    <w:p w14:paraId="363464AB">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Cs/>
          <w:sz w:val="32"/>
          <w:szCs w:val="32"/>
        </w:rPr>
      </w:pPr>
      <w:r>
        <w:rPr>
          <w:rFonts w:hint="eastAsia" w:ascii="仿宋" w:hAnsi="仿宋" w:eastAsia="仿宋" w:cs="仿宋"/>
          <w:kern w:val="2"/>
          <w:sz w:val="32"/>
          <w:szCs w:val="32"/>
          <w:lang w:val="en-US" w:eastAsia="zh-CN" w:bidi="ar-SA"/>
        </w:rPr>
        <w:t>3、随着对预、决算编制工作水平要求越来越高，数据编制要求越来越精准、规范；时间紧、任务大；加之现行决算工作与实际账务处理工作间衔接还存在一定差异；会计人员业务明显增加，人员紧缺，加之业务操作水平有限，实际操作中确实感到力不从心 。</w:t>
      </w:r>
    </w:p>
    <w:p w14:paraId="27CF6E67">
      <w:p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（二）针对问题提出具体的改进措施或建议</w:t>
      </w:r>
    </w:p>
    <w:p w14:paraId="506D6BD3">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sz w:val="32"/>
          <w:szCs w:val="32"/>
        </w:rPr>
        <w:t>1</w:t>
      </w:r>
      <w:r>
        <w:rPr>
          <w:rFonts w:hint="eastAsia" w:ascii="仿宋" w:hAnsi="仿宋" w:eastAsia="仿宋" w:cs="仿宋"/>
          <w:kern w:val="2"/>
          <w:sz w:val="32"/>
          <w:szCs w:val="32"/>
          <w:lang w:val="en-US" w:eastAsia="zh-CN" w:bidi="ar-SA"/>
        </w:rPr>
        <w:t>、细化预算编制工作，进一步加强内设机构的预算管理意识，严格按照预算编制的相关制度和要求进行预算编制。</w:t>
      </w:r>
    </w:p>
    <w:p w14:paraId="5A2B5960">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加强财务管理，严格财务审核。加强单位财务管理，健全单位财务管理制度体系，规范单位财务行为。在费用报账支付时，按照预算规定的费用项目和用途进行资金使用审核、财务严格核算，杜绝超支现象的发生。</w:t>
      </w:r>
    </w:p>
    <w:p w14:paraId="7AD763B7">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3、合理安排会计岗位，适当增加会计人员，增加业务知识培训，加强决算工作与账务处理工作衔接。</w:t>
      </w:r>
    </w:p>
    <w:p w14:paraId="7C8799BF">
      <w:pPr>
        <w:spacing w:line="560" w:lineRule="exact"/>
        <w:ind w:firstLine="640" w:firstLineChars="200"/>
        <w:rPr>
          <w:rFonts w:hint="eastAsia" w:ascii="楷体" w:hAnsi="楷体" w:eastAsia="楷体"/>
          <w:bCs/>
          <w:sz w:val="32"/>
          <w:szCs w:val="32"/>
        </w:rPr>
      </w:pPr>
    </w:p>
    <w:p w14:paraId="61B5F4E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tbl>
      <w:tblPr>
        <w:tblStyle w:val="7"/>
        <w:tblW w:w="879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2430"/>
        <w:gridCol w:w="1810"/>
        <w:gridCol w:w="2850"/>
      </w:tblGrid>
      <w:tr w14:paraId="70072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bottom"/>
          </w:tcPr>
          <w:p w14:paraId="41A10547">
            <w:pPr>
              <w:pStyle w:val="5"/>
              <w:jc w:val="center"/>
              <w:rPr>
                <w:rFonts w:hint="eastAsia" w:ascii="宋体" w:hAnsi="宋体" w:eastAsia="宋体" w:cs="宋体"/>
                <w:b/>
                <w:bCs/>
                <w:sz w:val="32"/>
                <w:szCs w:val="32"/>
                <w:vertAlign w:val="baseline"/>
                <w:lang w:val="en-US" w:eastAsia="zh-CN"/>
              </w:rPr>
            </w:pPr>
            <w:r>
              <w:rPr>
                <w:rFonts w:hint="eastAsia" w:ascii="宋体" w:hAnsi="宋体" w:eastAsia="宋体" w:cs="宋体"/>
                <w:b/>
                <w:bCs/>
                <w:sz w:val="32"/>
                <w:szCs w:val="32"/>
                <w:vertAlign w:val="baseline"/>
                <w:lang w:val="en-US" w:eastAsia="zh-CN"/>
              </w:rPr>
              <w:t>姓名</w:t>
            </w:r>
          </w:p>
        </w:tc>
        <w:tc>
          <w:tcPr>
            <w:tcW w:w="2430" w:type="dxa"/>
            <w:vAlign w:val="bottom"/>
          </w:tcPr>
          <w:p w14:paraId="27C9C8D6">
            <w:pPr>
              <w:pStyle w:val="5"/>
              <w:jc w:val="center"/>
              <w:rPr>
                <w:rFonts w:hint="eastAsia" w:ascii="宋体" w:hAnsi="宋体" w:eastAsia="宋体" w:cs="宋体"/>
                <w:b/>
                <w:bCs/>
                <w:sz w:val="32"/>
                <w:szCs w:val="32"/>
                <w:vertAlign w:val="baseline"/>
                <w:lang w:eastAsia="zh-CN"/>
              </w:rPr>
            </w:pPr>
            <w:r>
              <w:rPr>
                <w:rFonts w:hint="eastAsia" w:ascii="宋体" w:hAnsi="宋体" w:eastAsia="宋体" w:cs="宋体"/>
                <w:b/>
                <w:bCs/>
                <w:sz w:val="32"/>
                <w:szCs w:val="32"/>
                <w:vertAlign w:val="baseline"/>
                <w:lang w:eastAsia="zh-CN"/>
              </w:rPr>
              <w:t>工作单位</w:t>
            </w:r>
          </w:p>
        </w:tc>
        <w:tc>
          <w:tcPr>
            <w:tcW w:w="1810" w:type="dxa"/>
            <w:vAlign w:val="bottom"/>
          </w:tcPr>
          <w:p w14:paraId="6EBB797B">
            <w:pPr>
              <w:pStyle w:val="5"/>
              <w:jc w:val="center"/>
              <w:rPr>
                <w:rFonts w:hint="eastAsia" w:ascii="宋体" w:hAnsi="宋体" w:eastAsia="宋体" w:cs="宋体"/>
                <w:b/>
                <w:bCs/>
                <w:sz w:val="32"/>
                <w:szCs w:val="32"/>
                <w:vertAlign w:val="baseline"/>
                <w:lang w:eastAsia="zh-CN"/>
              </w:rPr>
            </w:pPr>
            <w:r>
              <w:rPr>
                <w:rFonts w:hint="eastAsia" w:ascii="宋体" w:hAnsi="宋体" w:eastAsia="宋体" w:cs="宋体"/>
                <w:b/>
                <w:bCs/>
                <w:sz w:val="32"/>
                <w:szCs w:val="32"/>
                <w:vertAlign w:val="baseline"/>
                <w:lang w:eastAsia="zh-CN"/>
              </w:rPr>
              <w:t>职务</w:t>
            </w:r>
          </w:p>
        </w:tc>
        <w:tc>
          <w:tcPr>
            <w:tcW w:w="2850" w:type="dxa"/>
            <w:vAlign w:val="bottom"/>
          </w:tcPr>
          <w:p w14:paraId="5E32D089">
            <w:pPr>
              <w:pStyle w:val="5"/>
              <w:jc w:val="center"/>
              <w:rPr>
                <w:rFonts w:hint="eastAsia" w:ascii="宋体" w:hAnsi="宋体" w:eastAsia="宋体" w:cs="宋体"/>
                <w:b/>
                <w:bCs/>
                <w:sz w:val="32"/>
                <w:szCs w:val="32"/>
                <w:vertAlign w:val="baseline"/>
                <w:lang w:eastAsia="zh-CN"/>
              </w:rPr>
            </w:pPr>
            <w:r>
              <w:rPr>
                <w:rFonts w:hint="eastAsia" w:ascii="宋体" w:hAnsi="宋体" w:eastAsia="宋体" w:cs="宋体"/>
                <w:b/>
                <w:bCs/>
                <w:sz w:val="32"/>
                <w:szCs w:val="32"/>
                <w:vertAlign w:val="baseline"/>
                <w:lang w:eastAsia="zh-CN"/>
              </w:rPr>
              <w:t>签字</w:t>
            </w:r>
          </w:p>
        </w:tc>
      </w:tr>
      <w:tr w14:paraId="04C88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704" w:type="dxa"/>
            <w:vAlign w:val="bottom"/>
          </w:tcPr>
          <w:p w14:paraId="4FAD23E8">
            <w:pPr>
              <w:pStyle w:val="5"/>
              <w:jc w:val="center"/>
              <w:rPr>
                <w:rFonts w:hint="eastAsia" w:ascii="宋体" w:hAnsi="宋体" w:eastAsia="宋体" w:cs="宋体"/>
                <w:b/>
                <w:bCs/>
                <w:sz w:val="24"/>
                <w:szCs w:val="24"/>
                <w:vertAlign w:val="baseline"/>
                <w:lang w:eastAsia="zh-CN"/>
              </w:rPr>
            </w:pPr>
            <w:r>
              <w:rPr>
                <w:rFonts w:hint="eastAsia" w:ascii="宋体" w:hAnsi="宋体" w:cs="宋体"/>
                <w:b/>
                <w:bCs/>
                <w:sz w:val="24"/>
                <w:szCs w:val="24"/>
                <w:vertAlign w:val="baseline"/>
                <w:lang w:val="en-US" w:eastAsia="zh-CN"/>
              </w:rPr>
              <w:t>杜浩</w:t>
            </w:r>
          </w:p>
        </w:tc>
        <w:tc>
          <w:tcPr>
            <w:tcW w:w="2430" w:type="dxa"/>
            <w:vAlign w:val="bottom"/>
          </w:tcPr>
          <w:p w14:paraId="43F14245">
            <w:pPr>
              <w:pStyle w:val="5"/>
              <w:jc w:val="center"/>
              <w:rPr>
                <w:rFonts w:hint="eastAsia" w:ascii="宋体" w:hAnsi="宋体" w:eastAsia="宋体" w:cs="宋体"/>
                <w:b/>
                <w:bCs/>
                <w:sz w:val="24"/>
                <w:szCs w:val="24"/>
                <w:vertAlign w:val="baseline"/>
                <w:lang w:eastAsia="zh-CN"/>
              </w:rPr>
            </w:pPr>
            <w:r>
              <w:rPr>
                <w:rFonts w:hint="eastAsia" w:ascii="宋体" w:hAnsi="宋体" w:eastAsia="宋体" w:cs="宋体"/>
                <w:b/>
                <w:bCs/>
                <w:sz w:val="24"/>
                <w:szCs w:val="24"/>
                <w:vertAlign w:val="baseline"/>
                <w:lang w:eastAsia="zh-CN"/>
              </w:rPr>
              <w:t>赵县赵州镇人民政府</w:t>
            </w:r>
          </w:p>
        </w:tc>
        <w:tc>
          <w:tcPr>
            <w:tcW w:w="1810" w:type="dxa"/>
            <w:vAlign w:val="bottom"/>
          </w:tcPr>
          <w:p w14:paraId="450063B2">
            <w:pPr>
              <w:pStyle w:val="5"/>
              <w:jc w:val="center"/>
              <w:rPr>
                <w:rFonts w:hint="eastAsia" w:ascii="宋体" w:hAnsi="宋体" w:eastAsia="宋体" w:cs="宋体"/>
                <w:b/>
                <w:bCs/>
                <w:sz w:val="24"/>
                <w:szCs w:val="24"/>
                <w:vertAlign w:val="baseline"/>
                <w:lang w:eastAsia="zh-CN"/>
              </w:rPr>
            </w:pPr>
            <w:r>
              <w:rPr>
                <w:rFonts w:hint="eastAsia" w:ascii="宋体" w:hAnsi="宋体" w:eastAsia="宋体" w:cs="宋体"/>
                <w:b/>
                <w:bCs/>
                <w:sz w:val="24"/>
                <w:szCs w:val="24"/>
                <w:vertAlign w:val="baseline"/>
                <w:lang w:eastAsia="zh-CN"/>
              </w:rPr>
              <w:t>组长</w:t>
            </w:r>
          </w:p>
        </w:tc>
        <w:tc>
          <w:tcPr>
            <w:tcW w:w="2850" w:type="dxa"/>
            <w:vAlign w:val="bottom"/>
          </w:tcPr>
          <w:p w14:paraId="5A27EEB3">
            <w:pPr>
              <w:pStyle w:val="5"/>
              <w:jc w:val="center"/>
              <w:rPr>
                <w:rFonts w:hint="eastAsia" w:ascii="宋体" w:hAnsi="宋体" w:eastAsia="宋体" w:cs="宋体"/>
                <w:b/>
                <w:bCs/>
                <w:sz w:val="24"/>
                <w:szCs w:val="24"/>
                <w:vertAlign w:val="baseline"/>
                <w:lang w:eastAsia="zh-CN"/>
              </w:rPr>
            </w:pPr>
          </w:p>
        </w:tc>
      </w:tr>
      <w:tr w14:paraId="22B73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704" w:type="dxa"/>
            <w:vAlign w:val="bottom"/>
          </w:tcPr>
          <w:p w14:paraId="45F7DD36">
            <w:pPr>
              <w:pStyle w:val="5"/>
              <w:jc w:val="center"/>
              <w:rPr>
                <w:rFonts w:hint="eastAsia" w:ascii="宋体" w:hAnsi="宋体" w:eastAsia="宋体" w:cs="宋体"/>
                <w:b/>
                <w:bCs/>
                <w:sz w:val="24"/>
                <w:szCs w:val="24"/>
                <w:vertAlign w:val="baseline"/>
                <w:lang w:eastAsia="zh-CN"/>
              </w:rPr>
            </w:pPr>
            <w:r>
              <w:rPr>
                <w:rFonts w:hint="eastAsia" w:ascii="宋体" w:hAnsi="宋体" w:eastAsia="宋体" w:cs="宋体"/>
                <w:b/>
                <w:bCs/>
                <w:sz w:val="24"/>
                <w:szCs w:val="24"/>
                <w:vertAlign w:val="baseline"/>
                <w:lang w:eastAsia="zh-CN"/>
              </w:rPr>
              <w:t>王飞</w:t>
            </w:r>
          </w:p>
        </w:tc>
        <w:tc>
          <w:tcPr>
            <w:tcW w:w="2430" w:type="dxa"/>
            <w:vAlign w:val="bottom"/>
          </w:tcPr>
          <w:p w14:paraId="082784E5">
            <w:pPr>
              <w:pStyle w:val="5"/>
              <w:jc w:val="center"/>
              <w:rPr>
                <w:rFonts w:hint="eastAsia" w:ascii="宋体" w:hAnsi="宋体" w:eastAsia="宋体" w:cs="宋体"/>
                <w:b/>
                <w:bCs/>
                <w:sz w:val="24"/>
                <w:szCs w:val="24"/>
                <w:vertAlign w:val="baseline"/>
                <w:lang w:eastAsia="zh-CN"/>
              </w:rPr>
            </w:pPr>
            <w:r>
              <w:rPr>
                <w:rFonts w:hint="eastAsia" w:ascii="宋体" w:hAnsi="宋体" w:eastAsia="宋体" w:cs="宋体"/>
                <w:b/>
                <w:bCs/>
                <w:sz w:val="24"/>
                <w:szCs w:val="24"/>
                <w:vertAlign w:val="baseline"/>
                <w:lang w:eastAsia="zh-CN"/>
              </w:rPr>
              <w:t>赵县赵州镇人民政府</w:t>
            </w:r>
          </w:p>
        </w:tc>
        <w:tc>
          <w:tcPr>
            <w:tcW w:w="1810" w:type="dxa"/>
            <w:vAlign w:val="bottom"/>
          </w:tcPr>
          <w:p w14:paraId="3C28D84C">
            <w:pPr>
              <w:pStyle w:val="5"/>
              <w:jc w:val="center"/>
              <w:rPr>
                <w:rFonts w:hint="eastAsia" w:ascii="宋体" w:hAnsi="宋体" w:eastAsia="宋体" w:cs="宋体"/>
                <w:b/>
                <w:bCs/>
                <w:sz w:val="24"/>
                <w:szCs w:val="24"/>
                <w:vertAlign w:val="baseline"/>
                <w:lang w:eastAsia="zh-CN"/>
              </w:rPr>
            </w:pPr>
            <w:r>
              <w:rPr>
                <w:rFonts w:hint="eastAsia" w:ascii="宋体" w:hAnsi="宋体" w:eastAsia="宋体" w:cs="宋体"/>
                <w:b/>
                <w:bCs/>
                <w:sz w:val="24"/>
                <w:szCs w:val="24"/>
                <w:vertAlign w:val="baseline"/>
                <w:lang w:eastAsia="zh-CN"/>
              </w:rPr>
              <w:t>副组长</w:t>
            </w:r>
          </w:p>
        </w:tc>
        <w:tc>
          <w:tcPr>
            <w:tcW w:w="2850" w:type="dxa"/>
            <w:vAlign w:val="bottom"/>
          </w:tcPr>
          <w:p w14:paraId="2863CC2D">
            <w:pPr>
              <w:pStyle w:val="5"/>
              <w:jc w:val="center"/>
              <w:rPr>
                <w:rFonts w:hint="eastAsia" w:ascii="宋体" w:hAnsi="宋体" w:eastAsia="宋体" w:cs="宋体"/>
                <w:b/>
                <w:bCs/>
                <w:sz w:val="24"/>
                <w:szCs w:val="24"/>
                <w:vertAlign w:val="baseline"/>
                <w:lang w:eastAsia="zh-CN"/>
              </w:rPr>
            </w:pPr>
          </w:p>
        </w:tc>
      </w:tr>
      <w:tr w14:paraId="4094E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704" w:type="dxa"/>
            <w:vAlign w:val="bottom"/>
          </w:tcPr>
          <w:p w14:paraId="17AEF83C">
            <w:pPr>
              <w:pStyle w:val="5"/>
              <w:jc w:val="center"/>
              <w:rPr>
                <w:rFonts w:hint="default"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田英娟</w:t>
            </w:r>
          </w:p>
        </w:tc>
        <w:tc>
          <w:tcPr>
            <w:tcW w:w="2430" w:type="dxa"/>
            <w:vAlign w:val="bottom"/>
          </w:tcPr>
          <w:p w14:paraId="4C3DC6D4">
            <w:pPr>
              <w:pStyle w:val="5"/>
              <w:jc w:val="center"/>
              <w:rPr>
                <w:rFonts w:hint="eastAsia" w:ascii="宋体" w:hAnsi="宋体" w:eastAsia="宋体" w:cs="宋体"/>
                <w:b/>
                <w:bCs/>
                <w:kern w:val="2"/>
                <w:sz w:val="24"/>
                <w:szCs w:val="24"/>
                <w:vertAlign w:val="baseline"/>
                <w:lang w:val="en-US" w:eastAsia="zh-CN" w:bidi="ar-SA"/>
              </w:rPr>
            </w:pPr>
            <w:r>
              <w:rPr>
                <w:rFonts w:hint="eastAsia" w:ascii="宋体" w:hAnsi="宋体" w:eastAsia="宋体" w:cs="宋体"/>
                <w:b/>
                <w:bCs/>
                <w:sz w:val="24"/>
                <w:szCs w:val="24"/>
                <w:vertAlign w:val="baseline"/>
                <w:lang w:eastAsia="zh-CN"/>
              </w:rPr>
              <w:t>赵县赵州镇人民政府</w:t>
            </w:r>
          </w:p>
        </w:tc>
        <w:tc>
          <w:tcPr>
            <w:tcW w:w="1810" w:type="dxa"/>
            <w:vAlign w:val="bottom"/>
          </w:tcPr>
          <w:p w14:paraId="1FCD1CD8">
            <w:pPr>
              <w:pStyle w:val="5"/>
              <w:jc w:val="center"/>
              <w:rPr>
                <w:rFonts w:hint="eastAsia" w:ascii="宋体" w:hAnsi="宋体" w:eastAsia="宋体" w:cs="宋体"/>
                <w:b/>
                <w:bCs/>
                <w:kern w:val="2"/>
                <w:sz w:val="24"/>
                <w:szCs w:val="24"/>
                <w:vertAlign w:val="baseline"/>
                <w:lang w:val="en-US" w:eastAsia="zh-CN" w:bidi="ar-SA"/>
              </w:rPr>
            </w:pPr>
            <w:r>
              <w:rPr>
                <w:rFonts w:hint="eastAsia" w:ascii="宋体" w:hAnsi="宋体" w:eastAsia="宋体" w:cs="宋体"/>
                <w:b/>
                <w:bCs/>
                <w:sz w:val="24"/>
                <w:szCs w:val="24"/>
                <w:vertAlign w:val="baseline"/>
                <w:lang w:eastAsia="zh-CN"/>
              </w:rPr>
              <w:t>成员</w:t>
            </w:r>
          </w:p>
        </w:tc>
        <w:tc>
          <w:tcPr>
            <w:tcW w:w="2850" w:type="dxa"/>
            <w:vAlign w:val="bottom"/>
          </w:tcPr>
          <w:p w14:paraId="26042CF5">
            <w:pPr>
              <w:pStyle w:val="5"/>
              <w:jc w:val="center"/>
              <w:rPr>
                <w:rFonts w:hint="eastAsia" w:ascii="宋体" w:hAnsi="宋体" w:eastAsia="宋体" w:cs="宋体"/>
                <w:b/>
                <w:bCs/>
                <w:sz w:val="24"/>
                <w:szCs w:val="24"/>
                <w:vertAlign w:val="baseline"/>
                <w:lang w:eastAsia="zh-CN"/>
              </w:rPr>
            </w:pPr>
          </w:p>
        </w:tc>
      </w:tr>
    </w:tbl>
    <w:p w14:paraId="24DB3F69">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59FAF9">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E8D179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BB5D43"/>
    <w:multiLevelType w:val="singleLevel"/>
    <w:tmpl w:val="FDBB5D43"/>
    <w:lvl w:ilvl="0" w:tentative="0">
      <w:start w:val="4"/>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34DEA80"/>
    <w:multiLevelType w:val="singleLevel"/>
    <w:tmpl w:val="534DEA80"/>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9721397"/>
    <w:rsid w:val="0BB63BED"/>
    <w:rsid w:val="0EB97A43"/>
    <w:rsid w:val="0EBD2122"/>
    <w:rsid w:val="0F214EAE"/>
    <w:rsid w:val="11B71E6A"/>
    <w:rsid w:val="16573885"/>
    <w:rsid w:val="1AAF0063"/>
    <w:rsid w:val="1BE140DE"/>
    <w:rsid w:val="1D491BD5"/>
    <w:rsid w:val="248C197D"/>
    <w:rsid w:val="252959AF"/>
    <w:rsid w:val="277A6671"/>
    <w:rsid w:val="281A529E"/>
    <w:rsid w:val="292D35B7"/>
    <w:rsid w:val="2DA94C06"/>
    <w:rsid w:val="33EB6CFF"/>
    <w:rsid w:val="35A12947"/>
    <w:rsid w:val="37387040"/>
    <w:rsid w:val="3A7C2BAF"/>
    <w:rsid w:val="3B625C0A"/>
    <w:rsid w:val="3CEE1963"/>
    <w:rsid w:val="436B78D3"/>
    <w:rsid w:val="466A6F6B"/>
    <w:rsid w:val="4C9C27FE"/>
    <w:rsid w:val="4E717297"/>
    <w:rsid w:val="512260B4"/>
    <w:rsid w:val="52BD6ACB"/>
    <w:rsid w:val="55537534"/>
    <w:rsid w:val="561A74F1"/>
    <w:rsid w:val="597244E8"/>
    <w:rsid w:val="5EB71C30"/>
    <w:rsid w:val="66AF0CE5"/>
    <w:rsid w:val="6AC537CF"/>
    <w:rsid w:val="6E5B14A6"/>
    <w:rsid w:val="6E7A7C53"/>
    <w:rsid w:val="711B255E"/>
    <w:rsid w:val="7B694FD2"/>
    <w:rsid w:val="7BB51E06"/>
    <w:rsid w:val="7C387F7C"/>
    <w:rsid w:val="7F3C0271"/>
    <w:rsid w:val="7F697609"/>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eastAsia="宋体"/>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footnote text"/>
    <w:basedOn w:val="1"/>
    <w:qFormat/>
    <w:uiPriority w:val="0"/>
    <w:rPr>
      <w:rFonts w:ascii="Calibri" w:hAnsi="Calibri"/>
      <w:kern w:val="2"/>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503</Words>
  <Characters>516</Characters>
  <Lines>4</Lines>
  <Paragraphs>1</Paragraphs>
  <TotalTime>13</TotalTime>
  <ScaleCrop>false</ScaleCrop>
  <LinksUpToDate>false</LinksUpToDate>
  <CharactersWithSpaces>521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南风向北</cp:lastModifiedBy>
  <cp:lastPrinted>2026-03-26T06:08:00Z</cp:lastPrinted>
  <dcterms:modified xsi:type="dcterms:W3CDTF">2026-03-30T03:33:57Z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eyJoZGlkIjoiY2FjMTNiZjU3NmI4NTFmZjdiZjc5MGEzNWI3YWEzYmEiLCJ1c2VySWQiOiIxMTUwMDY1OTI2In0=</vt:lpwstr>
  </property>
</Properties>
</file>