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A20296">
      <w:pPr>
        <w:jc w:val="center"/>
        <w:rPr>
          <w:rFonts w:hint="eastAsia"/>
          <w:b/>
          <w:bCs/>
          <w:sz w:val="44"/>
          <w:szCs w:val="44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赵</w:t>
      </w:r>
      <w:r>
        <w:rPr>
          <w:rFonts w:hint="eastAsia"/>
          <w:b/>
          <w:bCs/>
          <w:sz w:val="44"/>
          <w:szCs w:val="44"/>
        </w:rPr>
        <w:t>县城市管理综合行政执法局</w:t>
      </w:r>
    </w:p>
    <w:p w14:paraId="59808EA9">
      <w:pPr>
        <w:jc w:val="center"/>
        <w:rPr>
          <w:rFonts w:hint="eastAsia"/>
          <w:b/>
          <w:bCs/>
          <w:sz w:val="44"/>
          <w:szCs w:val="44"/>
        </w:rPr>
      </w:pPr>
      <w:r>
        <w:rPr>
          <w:rFonts w:hint="eastAsia"/>
          <w:b/>
          <w:bCs/>
          <w:sz w:val="44"/>
          <w:szCs w:val="44"/>
        </w:rPr>
        <w:t>2026年度“双随机、一公开”监管工作实施方案</w:t>
      </w:r>
    </w:p>
    <w:p w14:paraId="4824703C">
      <w:pPr>
        <w:rPr>
          <w:rFonts w:hint="eastAsia" w:ascii="仿宋" w:hAnsi="仿宋" w:eastAsia="仿宋" w:cs="仿宋"/>
          <w:sz w:val="32"/>
          <w:szCs w:val="32"/>
        </w:rPr>
      </w:pPr>
    </w:p>
    <w:p w14:paraId="7F8038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为深入贯彻落实国务院、省、市、县关于深化“放管服”改革、优化营商环境、严格规范涉企行政检查的部署要求，全面推行随机抽取检查对象、随机选派执法检查人员、抽查情况及查处结果及时向社会公开的监管机制，规范城市管理事中事后监管，提升执法效能与公信力，结合我县城市管理工作实际，制定本实施方案。</w:t>
      </w:r>
    </w:p>
    <w:p w14:paraId="603D3B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一、总体要求</w:t>
      </w:r>
    </w:p>
    <w:p w14:paraId="49CE5F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（一）指导思想</w:t>
      </w:r>
    </w:p>
    <w:p w14:paraId="4B58F9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以规范行政执法、强化公正监管为主线，坚持依法监管、公平公正、公开透明、高效便民、协同共治原则，以“一单两库一指引”为基础，以信用风险分类为抓手，以部门联合“一业一查”为重点，实现城管领域监管全覆盖、常态化、规范化，切实减少对市场主体正常经营的干扰，守牢城市运行安全与市容环境管理底线。</w:t>
      </w:r>
    </w:p>
    <w:p w14:paraId="62FC3B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（二）工作目标</w:t>
      </w:r>
    </w:p>
    <w:p w14:paraId="23CA4D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 规范化：抽查全流程通过河北省双随机执法监管平台运行，持证执法、全程留痕、闭环管理。</w:t>
      </w:r>
    </w:p>
    <w:p w14:paraId="13988B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. 精准化：信用风险分类结果与双随机深度融合，高风险提频次、低风险降干扰。</w:t>
      </w:r>
    </w:p>
    <w:p w14:paraId="7384A8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. 公开化：抽查计划、事项、结果100%公示，接受社会监督。</w:t>
      </w:r>
    </w:p>
    <w:p w14:paraId="560A3C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. 联合化：部门联合抽查占比稳步提升，落实进一次门、查多项事。</w:t>
      </w:r>
    </w:p>
    <w:p w14:paraId="3C3A56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二、组织领导与职责分工</w:t>
      </w:r>
    </w:p>
    <w:p w14:paraId="6D90CA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（一）组织架构</w:t>
      </w:r>
    </w:p>
    <w:p w14:paraId="4B15BE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成立局“双随机、一公开”监管工作领导小组</w:t>
      </w:r>
    </w:p>
    <w:p w14:paraId="4218AB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• 组 长：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史伟军</w:t>
      </w:r>
    </w:p>
    <w:p w14:paraId="4F4C7C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• 副组长：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王增强</w:t>
      </w:r>
    </w:p>
    <w:p w14:paraId="432910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• 成 员：法制股、各执法股室负责人</w:t>
      </w:r>
    </w:p>
    <w:p w14:paraId="6F91B8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（二）职责分工</w:t>
      </w:r>
    </w:p>
    <w:p w14:paraId="1042DC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• 领导小组：统筹部署、审定计划、协调重大问题、督办整改。</w:t>
      </w:r>
    </w:p>
    <w:p w14:paraId="3AE67C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• 法制股（牵头股室）：制定方案与计划、动态维护“一单两库”、组织随机抽取、档案归集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等工作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 w14:paraId="019FF9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•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各执法股室</w:t>
      </w:r>
      <w:r>
        <w:rPr>
          <w:rFonts w:hint="eastAsia" w:ascii="仿宋" w:hAnsi="仿宋" w:eastAsia="仿宋" w:cs="仿宋"/>
          <w:sz w:val="32"/>
          <w:szCs w:val="32"/>
        </w:rPr>
        <w:t>：实施现场检查、调查取证、整改复查、案件办理、数据录入。</w:t>
      </w:r>
    </w:p>
    <w:p w14:paraId="63132F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• 办公室：统筹宣传、后勤保障、信息公开平台运维。</w:t>
      </w:r>
    </w:p>
    <w:p w14:paraId="4E2299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三、核心工作内容</w:t>
      </w:r>
    </w:p>
    <w:p w14:paraId="0FF0BD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（一）完善“一单两库一指引”</w:t>
      </w:r>
    </w:p>
    <w:p w14:paraId="2F5406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 随机抽查事项清单</w:t>
      </w:r>
    </w:p>
    <w:p w14:paraId="40111D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依据权责清单、法律法规规章立改废释，动态更新城管领域抽查事项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清单明确事项名称、依据、内容、方式、主体、时限，对外公示并动态调整。</w:t>
      </w:r>
    </w:p>
    <w:p w14:paraId="2C2538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 检查对象名录库</w:t>
      </w:r>
    </w:p>
    <w:p w14:paraId="6E1705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全覆盖城管监管市场主体、事业单位、社会组织、个体工商户及重点项目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动态更新。</w:t>
      </w:r>
    </w:p>
    <w:p w14:paraId="7131EF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3. 执法检查人员名录库</w:t>
      </w:r>
    </w:p>
    <w:p w14:paraId="190ACF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动态调整执法人员名录库，</w:t>
      </w:r>
      <w:r>
        <w:rPr>
          <w:rFonts w:hint="eastAsia" w:ascii="仿宋" w:hAnsi="仿宋" w:eastAsia="仿宋" w:cs="仿宋"/>
          <w:sz w:val="32"/>
          <w:szCs w:val="32"/>
        </w:rPr>
        <w:t>落实回避制度，与检查对象有利害关系的必须回避并重新抽取。</w:t>
      </w:r>
    </w:p>
    <w:p w14:paraId="73BB4D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4. 抽查工作指引</w:t>
      </w:r>
    </w:p>
    <w:p w14:paraId="499C14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细化检查流程、标准、文书、取证要求，统一尺度、规范裁量，落实首违不罚、轻微免罚、告知承诺。</w:t>
      </w:r>
    </w:p>
    <w:p w14:paraId="5592AD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（二）信用风险分级分类监管</w:t>
      </w:r>
    </w:p>
    <w:p w14:paraId="668E4C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• 低风险主体：降低抽查比例与频次，鼓励守法经营。</w:t>
      </w:r>
    </w:p>
    <w:p w14:paraId="42063B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• 一般风险主体：按常规比例抽查。</w:t>
      </w:r>
    </w:p>
    <w:p w14:paraId="37A0AB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• 高风险主体（投诉多、违法记录、安全隐患、失信）：提高抽查比例与频次，必要时专项检查。</w:t>
      </w:r>
    </w:p>
    <w:p w14:paraId="131C6C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• 信用分类结果作为抽取核心依据，分级分类抽查占比≥90%。</w:t>
      </w:r>
    </w:p>
    <w:p w14:paraId="56BF22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（三）规范抽查实施流程</w:t>
      </w:r>
    </w:p>
    <w:p w14:paraId="348CE8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 制定年度计划</w:t>
      </w:r>
    </w:p>
    <w:p w14:paraId="371D11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-6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份</w:t>
      </w:r>
      <w:r>
        <w:rPr>
          <w:rFonts w:hint="eastAsia" w:ascii="仿宋" w:hAnsi="仿宋" w:eastAsia="仿宋" w:cs="仿宋"/>
          <w:sz w:val="32"/>
          <w:szCs w:val="32"/>
        </w:rPr>
        <w:t>完成年度抽查计划并公示，明确事项、对象范围、比例、频次、时间、联合方式、检查方式。</w:t>
      </w:r>
    </w:p>
    <w:p w14:paraId="5E7362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 随机抽取</w:t>
      </w:r>
    </w:p>
    <w:p w14:paraId="25B201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通过省双随机平台随机抽对象、随机派人员，法制股全程监督，抽取结果留痕存档。</w:t>
      </w:r>
    </w:p>
    <w:p w14:paraId="473BA6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3. 现场检查</w:t>
      </w:r>
    </w:p>
    <w:p w14:paraId="7143BB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• 执法人员≥2人、持证亮证、亮明身份与依据</w:t>
      </w:r>
    </w:p>
    <w:p w14:paraId="3C0BBB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• 采取现场核查、台账查阅、询问笔录、拍照录像、检测勘验等</w:t>
      </w:r>
    </w:p>
    <w:p w14:paraId="04DE98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• 如实记录、签字确认，全程音像记录</w:t>
      </w:r>
    </w:p>
    <w:p w14:paraId="495923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• 严格执行扫码入企等涉企检查规定</w:t>
      </w:r>
    </w:p>
    <w:p w14:paraId="70EFE0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. 结果处置与公示</w:t>
      </w:r>
    </w:p>
    <w:p w14:paraId="03E298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• 检查结束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及时</w:t>
      </w:r>
      <w:r>
        <w:rPr>
          <w:rFonts w:hint="eastAsia" w:ascii="仿宋" w:hAnsi="仿宋" w:eastAsia="仿宋" w:cs="仿宋"/>
          <w:sz w:val="32"/>
          <w:szCs w:val="32"/>
        </w:rPr>
        <w:t>录入平台并公示</w:t>
      </w:r>
    </w:p>
    <w:p w14:paraId="5D01A7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• 未发现问题：公示正常结果</w:t>
      </w:r>
    </w:p>
    <w:p w14:paraId="7CEAAA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• 发现问题：责令整改、限期复查；依法立案查处；涉嫌犯罪移送司法；属其他部门管辖的移交</w:t>
      </w:r>
    </w:p>
    <w:p w14:paraId="05F7FC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• 结果公示：检查对象、事项、时间、人员、结果、处理意见</w:t>
      </w:r>
    </w:p>
    <w:p w14:paraId="392EA4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（四）推进部门联合“一业一查”</w:t>
      </w:r>
    </w:p>
    <w:p w14:paraId="6141B8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• 对接市场监管、生态环境等部门，推行联合抽查、一业一查</w:t>
      </w:r>
    </w:p>
    <w:p w14:paraId="3A1A91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• 能联尽联、能合尽合，减少多头重复检查</w:t>
      </w:r>
    </w:p>
    <w:p w14:paraId="0D5A4C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• 联合抽查事项纳入年度计划，明确牵头与配合单位</w:t>
      </w:r>
    </w:p>
    <w:p w14:paraId="37C8AB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四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、保障措施</w:t>
      </w:r>
    </w:p>
    <w:p w14:paraId="186606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（一）制度保障</w:t>
      </w:r>
    </w:p>
    <w:p w14:paraId="318E6C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健全抽取、回避、公示、档案、保密、责任追究制度，严格执行行政执法三项制度，确保程序合法、结果公正。</w:t>
      </w:r>
    </w:p>
    <w:p w14:paraId="543E77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（二）纪律保障</w:t>
      </w:r>
    </w:p>
    <w:p w14:paraId="68F40B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严禁任性检查、重复检查、越权检查、吃拿卡要；严禁干扰随机抽取、篡改结果；对失职渎职、违纪违法严肃追责。</w:t>
      </w:r>
    </w:p>
    <w:p w14:paraId="21F897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（三）信息化保障</w:t>
      </w:r>
    </w:p>
    <w:p w14:paraId="0F516B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依托河北省双随机执法监管平台，全流程线上运行、数据共享、自动留痕，提升智能化水平。</w:t>
      </w:r>
    </w:p>
    <w:p w14:paraId="2C313A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（四）宣传保障</w:t>
      </w:r>
    </w:p>
    <w:p w14:paraId="591842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通过政府网站、公众号宣传政策，提升主体知晓度与配合度，营造良好监管氛围。</w:t>
      </w:r>
    </w:p>
    <w:p w14:paraId="03DEE6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五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、工作要求</w:t>
      </w:r>
    </w:p>
    <w:p w14:paraId="4F2F2C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• 提高政治站位，将双随机作为规范执法、优化营商环境重要举措</w:t>
      </w:r>
    </w:p>
    <w:p w14:paraId="79C3FD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• 强化协同配合，股室中队联动、部门联动，形成合力</w:t>
      </w:r>
    </w:p>
    <w:p w14:paraId="548853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• 坚持问题导向，聚焦安全与民生重点，提升监管实效</w:t>
      </w:r>
    </w:p>
    <w:p w14:paraId="0817FC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• 严格依法依规，守住底线、不越红线、不碰高压线</w:t>
      </w:r>
    </w:p>
    <w:p w14:paraId="1FC1AF07">
      <w:pPr>
        <w:ind w:firstLine="640" w:firstLineChars="200"/>
        <w:rPr>
          <w:rFonts w:hint="eastAsia" w:ascii="仿宋" w:hAnsi="仿宋" w:eastAsia="仿宋"/>
          <w:sz w:val="32"/>
        </w:rPr>
      </w:pPr>
      <w:r>
        <w:rPr>
          <w:rFonts w:hint="eastAsia" w:ascii="仿宋" w:hAnsi="仿宋" w:eastAsia="仿宋"/>
          <w:sz w:val="32"/>
        </w:rPr>
        <w:t xml:space="preserve"> </w:t>
      </w:r>
    </w:p>
    <w:p w14:paraId="6F3DA839">
      <w:pPr>
        <w:ind w:firstLine="640" w:firstLineChars="200"/>
        <w:rPr>
          <w:rFonts w:hint="eastAsia" w:ascii="仿宋" w:hAnsi="仿宋" w:eastAsia="仿宋"/>
          <w:sz w:val="32"/>
        </w:rPr>
      </w:pPr>
      <w:r>
        <w:rPr>
          <w:rFonts w:hint="eastAsia" w:ascii="仿宋" w:hAnsi="仿宋" w:eastAsia="仿宋"/>
          <w:sz w:val="32"/>
        </w:rPr>
        <w:t xml:space="preserve">                   赵县城市管理综合行政执法局</w:t>
      </w:r>
    </w:p>
    <w:p w14:paraId="610395C8">
      <w:pPr>
        <w:ind w:firstLine="4800" w:firstLineChars="15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/>
          <w:sz w:val="32"/>
        </w:rPr>
        <w:t>202</w:t>
      </w:r>
      <w:r>
        <w:rPr>
          <w:rFonts w:hint="eastAsia" w:ascii="仿宋" w:hAnsi="仿宋" w:eastAsia="仿宋"/>
          <w:sz w:val="32"/>
          <w:lang w:val="en-US" w:eastAsia="zh-CN"/>
        </w:rPr>
        <w:t>6</w:t>
      </w:r>
      <w:r>
        <w:rPr>
          <w:rFonts w:hint="eastAsia" w:ascii="仿宋" w:hAnsi="仿宋" w:eastAsia="仿宋"/>
          <w:sz w:val="32"/>
        </w:rPr>
        <w:t>年</w:t>
      </w:r>
      <w:r>
        <w:rPr>
          <w:rFonts w:hint="eastAsia" w:ascii="仿宋" w:hAnsi="仿宋" w:eastAsia="仿宋"/>
          <w:sz w:val="32"/>
          <w:lang w:val="en-US" w:eastAsia="zh-CN"/>
        </w:rPr>
        <w:t>2</w:t>
      </w:r>
      <w:r>
        <w:rPr>
          <w:rFonts w:hint="eastAsia" w:ascii="仿宋" w:hAnsi="仿宋" w:eastAsia="仿宋"/>
          <w:sz w:val="32"/>
        </w:rPr>
        <w:t>月</w:t>
      </w:r>
      <w:r>
        <w:rPr>
          <w:rFonts w:hint="eastAsia" w:ascii="仿宋" w:hAnsi="仿宋" w:eastAsia="仿宋"/>
          <w:sz w:val="32"/>
          <w:lang w:val="en-US" w:eastAsia="zh-CN"/>
        </w:rPr>
        <w:t>27</w:t>
      </w:r>
      <w:bookmarkStart w:id="0" w:name="_GoBack"/>
      <w:bookmarkEnd w:id="0"/>
      <w:r>
        <w:rPr>
          <w:rFonts w:hint="eastAsia" w:ascii="仿宋" w:hAnsi="仿宋" w:eastAsia="仿宋"/>
          <w:sz w:val="32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AF916A4"/>
    <w:rsid w:val="068A254B"/>
    <w:rsid w:val="08FB3BFF"/>
    <w:rsid w:val="7AF91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1761</Words>
  <Characters>1787</Characters>
  <Lines>0</Lines>
  <Paragraphs>0</Paragraphs>
  <TotalTime>0</TotalTime>
  <ScaleCrop>false</ScaleCrop>
  <LinksUpToDate>false</LinksUpToDate>
  <CharactersWithSpaces>1847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2026-03-11T02:44:00Z</dcterms:created>
  <dc:creator>偏执。</dc:creator>
  <cp:lastModifiedBy>偏执。</cp:lastModifiedBy>
  <dcterms:modified xsi:type="dcterms:W3CDTF">2026-03-11T08:06:42Z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5E99216A4E0F4DFC9243C06E984F6C71_11</vt:lpwstr>
  </property>
  <property fmtid="{D5CDD505-2E9C-101B-9397-08002B2CF9AE}" pid="4" name="KSOTemplateDocerSaveRecord">
    <vt:lpwstr>eyJoZGlkIjoiZDgzMTljOGY3NDJjYThkZjY3ZDhmYWZiNTNlZDJhZDIiLCJ1c2VySWQiOiIyNTU3MjM0NjUifQ==</vt:lpwstr>
  </property>
</Properties>
</file>