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084182">
      <w:pPr>
        <w:pStyle w:val="2"/>
        <w:keepNext w:val="0"/>
        <w:keepLines w:val="0"/>
        <w:pageBreakBefore w:val="0"/>
        <w:widowControl/>
        <w:kinsoku/>
        <w:wordWrap/>
        <w:overflowPunct/>
        <w:topLinePunct w:val="0"/>
        <w:autoSpaceDE/>
        <w:autoSpaceDN/>
        <w:adjustRightInd/>
        <w:snapToGrid/>
        <w:spacing w:line="560" w:lineRule="exact"/>
        <w:ind w:firstLine="2640" w:firstLineChars="600"/>
        <w:jc w:val="both"/>
        <w:rPr>
          <w:rFonts w:hint="eastAsia" w:ascii="方正小标宋简体" w:hAnsi="方正小标宋简体" w:eastAsia="方正小标宋简体" w:cs="方正小标宋简体"/>
          <w:b w:val="0"/>
          <w:bCs/>
          <w:sz w:val="44"/>
          <w:szCs w:val="44"/>
          <w:lang w:eastAsia="zh-CN" w:bidi="ar-SA"/>
        </w:rPr>
      </w:pPr>
      <w:bookmarkStart w:id="0" w:name="_GoBack"/>
      <w:r>
        <w:rPr>
          <w:rFonts w:hint="eastAsia" w:ascii="方正小标宋简体" w:hAnsi="方正小标宋简体" w:eastAsia="方正小标宋简体" w:cs="方正小标宋简体"/>
          <w:b w:val="0"/>
          <w:bCs/>
          <w:sz w:val="44"/>
          <w:szCs w:val="44"/>
          <w:lang w:val="en-US" w:eastAsia="zh-CN" w:bidi="ar-SA"/>
        </w:rPr>
        <w:t>赵县</w:t>
      </w:r>
      <w:r>
        <w:rPr>
          <w:rFonts w:hint="eastAsia" w:ascii="方正小标宋简体" w:hAnsi="方正小标宋简体" w:eastAsia="方正小标宋简体" w:cs="方正小标宋简体"/>
          <w:b w:val="0"/>
          <w:bCs/>
          <w:sz w:val="44"/>
          <w:szCs w:val="44"/>
          <w:lang w:eastAsia="zh-CN" w:bidi="ar-SA"/>
        </w:rPr>
        <w:t>农业农村局</w:t>
      </w:r>
    </w:p>
    <w:p w14:paraId="75457EE7">
      <w:pPr>
        <w:pStyle w:val="2"/>
        <w:keepNext w:val="0"/>
        <w:keepLines w:val="0"/>
        <w:pageBreakBefore w:val="0"/>
        <w:widowControl/>
        <w:kinsoku/>
        <w:wordWrap/>
        <w:overflowPunct/>
        <w:topLinePunct w:val="0"/>
        <w:autoSpaceDE/>
        <w:autoSpaceDN/>
        <w:adjustRightInd/>
        <w:snapToGrid/>
        <w:spacing w:line="560" w:lineRule="exact"/>
        <w:rPr>
          <w:rFonts w:hint="eastAsia" w:ascii="方正小标宋简体" w:hAnsi="方正小标宋简体" w:eastAsia="方正小标宋简体" w:cs="方正小标宋简体"/>
          <w:b w:val="0"/>
          <w:bCs/>
          <w:sz w:val="44"/>
          <w:szCs w:val="44"/>
          <w:lang w:eastAsia="zh-CN" w:bidi="ar-SA"/>
        </w:rPr>
      </w:pPr>
      <w:r>
        <w:rPr>
          <w:rFonts w:hint="eastAsia" w:ascii="方正小标宋简体" w:hAnsi="方正小标宋简体" w:eastAsia="方正小标宋简体" w:cs="方正小标宋简体"/>
          <w:b w:val="0"/>
          <w:bCs/>
          <w:sz w:val="44"/>
          <w:szCs w:val="44"/>
          <w:lang w:eastAsia="zh-CN" w:bidi="ar-SA"/>
        </w:rPr>
        <w:t>行政处罚决定书</w:t>
      </w:r>
    </w:p>
    <w:p w14:paraId="4C157AEA">
      <w:pPr>
        <w:keepNext w:val="0"/>
        <w:keepLines w:val="0"/>
        <w:pageBreakBefore w:val="0"/>
        <w:widowControl/>
        <w:kinsoku/>
        <w:wordWrap/>
        <w:overflowPunct/>
        <w:topLinePunct w:val="0"/>
        <w:autoSpaceDE/>
        <w:autoSpaceDN/>
        <w:spacing w:line="560" w:lineRule="exact"/>
        <w:jc w:val="center"/>
        <w:textAlignment w:val="baseline"/>
        <w:rPr>
          <w:rFonts w:hint="eastAsia" w:ascii="仿宋" w:hAnsi="仿宋" w:eastAsia="仿宋" w:cs="仿宋"/>
          <w:kern w:val="0"/>
          <w:sz w:val="32"/>
          <w:szCs w:val="32"/>
          <w:lang w:bidi="ar-SA"/>
        </w:rPr>
      </w:pPr>
      <w:r>
        <w:rPr>
          <w:rFonts w:hint="eastAsia" w:ascii="仿宋" w:hAnsi="仿宋" w:eastAsia="仿宋" w:cs="仿宋"/>
          <w:kern w:val="0"/>
          <w:sz w:val="32"/>
          <w:szCs w:val="32"/>
          <w:shd w:val="clear" w:color="auto" w:fill="FFFFFF"/>
          <w:lang w:val="en-US" w:eastAsia="zh-CN" w:bidi="ar"/>
        </w:rPr>
        <w:t>赵农(兽药)罚〔2025〕1号</w:t>
      </w:r>
    </w:p>
    <w:bookmarkEnd w:id="0"/>
    <w:p w14:paraId="2069C763">
      <w:pPr>
        <w:keepNext w:val="0"/>
        <w:keepLines w:val="0"/>
        <w:pageBreakBefore w:val="0"/>
        <w:widowControl w:val="0"/>
        <w:kinsoku/>
        <w:wordWrap/>
        <w:overflowPunct/>
        <w:topLinePunct w:val="0"/>
        <w:autoSpaceDE/>
        <w:autoSpaceDN/>
        <w:spacing w:line="560" w:lineRule="exact"/>
        <w:ind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bidi="ar-SA"/>
        </w:rPr>
        <w:t>当事人</w:t>
      </w:r>
      <w:r>
        <w:rPr>
          <w:rFonts w:hint="eastAsia" w:ascii="仿宋" w:hAnsi="仿宋" w:eastAsia="仿宋" w:cs="仿宋"/>
          <w:sz w:val="32"/>
          <w:szCs w:val="32"/>
          <w:lang w:eastAsia="zh-CN" w:bidi="ar-SA"/>
        </w:rPr>
        <w:t>：##</w:t>
      </w:r>
      <w:r>
        <w:rPr>
          <w:rFonts w:hint="eastAsia" w:ascii="仿宋" w:hAnsi="仿宋" w:eastAsia="仿宋" w:cs="仿宋"/>
          <w:sz w:val="32"/>
          <w:szCs w:val="32"/>
          <w:lang w:val="en-US" w:eastAsia="zh-CN" w:bidi="ar-SA"/>
        </w:rPr>
        <w:t>，女，汉族</w:t>
      </w:r>
    </w:p>
    <w:p w14:paraId="46CCB754">
      <w:pPr>
        <w:keepNext w:val="0"/>
        <w:keepLines w:val="0"/>
        <w:pageBreakBefore w:val="0"/>
        <w:widowControl w:val="0"/>
        <w:kinsoku/>
        <w:wordWrap/>
        <w:overflowPunct/>
        <w:topLinePunct w:val="0"/>
        <w:autoSpaceDE/>
        <w:autoSpaceDN/>
        <w:spacing w:line="560" w:lineRule="exact"/>
        <w:ind w:firstLine="64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出生日期：##年#月#日</w:t>
      </w:r>
    </w:p>
    <w:p w14:paraId="5FA1F92B">
      <w:pPr>
        <w:keepNext w:val="0"/>
        <w:keepLines w:val="0"/>
        <w:pageBreakBefore w:val="0"/>
        <w:widowControl w:val="0"/>
        <w:kinsoku/>
        <w:wordWrap/>
        <w:overflowPunct/>
        <w:topLinePunct w:val="0"/>
        <w:autoSpaceDE/>
        <w:autoSpaceDN/>
        <w:spacing w:line="560" w:lineRule="exact"/>
        <w:ind w:firstLine="64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身份证号：###</w:t>
      </w:r>
    </w:p>
    <w:p w14:paraId="6761320D">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sz w:val="32"/>
          <w:szCs w:val="32"/>
          <w:u w:val="none"/>
          <w:lang w:val="en-US" w:eastAsia="zh-CN" w:bidi="ar-SA"/>
        </w:rPr>
      </w:pPr>
      <w:r>
        <w:rPr>
          <w:rFonts w:hint="eastAsia" w:ascii="仿宋" w:hAnsi="仿宋" w:eastAsia="仿宋" w:cs="仿宋"/>
          <w:sz w:val="32"/>
          <w:szCs w:val="32"/>
          <w:lang w:val="en-US" w:eastAsia="zh-CN" w:bidi="ar-SA"/>
        </w:rPr>
        <w:t>住所：河北省</w:t>
      </w:r>
      <w:r>
        <w:rPr>
          <w:rFonts w:hint="eastAsia" w:ascii="仿宋" w:hAnsi="仿宋" w:eastAsia="仿宋" w:cs="仿宋"/>
          <w:sz w:val="32"/>
          <w:szCs w:val="32"/>
          <w:u w:val="none"/>
          <w:lang w:val="en-US" w:eastAsia="zh-CN" w:bidi="ar-SA"/>
        </w:rPr>
        <w:t>石家庄市赵县###</w:t>
      </w:r>
    </w:p>
    <w:p w14:paraId="3547DA8A">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sz w:val="32"/>
          <w:szCs w:val="32"/>
          <w:lang w:eastAsia="zh-CN" w:bidi="ar-SA"/>
        </w:rPr>
      </w:pPr>
      <w:r>
        <w:rPr>
          <w:rFonts w:hint="eastAsia" w:ascii="仿宋" w:hAnsi="仿宋" w:eastAsia="仿宋" w:cs="仿宋"/>
          <w:sz w:val="32"/>
          <w:szCs w:val="32"/>
          <w:lang w:bidi="ar-SA"/>
        </w:rPr>
        <w:t>当事人</w:t>
      </w:r>
      <w:r>
        <w:rPr>
          <w:rFonts w:hint="eastAsia" w:ascii="仿宋" w:hAnsi="仿宋" w:eastAsia="仿宋" w:cs="仿宋"/>
          <w:sz w:val="32"/>
          <w:szCs w:val="32"/>
          <w:lang w:val="en-US" w:eastAsia="zh-CN" w:bidi="ar-SA"/>
        </w:rPr>
        <w:t>无兽药经营许可证经营兽药</w:t>
      </w:r>
      <w:r>
        <w:rPr>
          <w:rFonts w:hint="eastAsia" w:ascii="仿宋" w:hAnsi="仿宋" w:eastAsia="仿宋" w:cs="仿宋"/>
          <w:sz w:val="32"/>
          <w:szCs w:val="32"/>
          <w:lang w:bidi="ar-SA"/>
        </w:rPr>
        <w:t>一案，经本机关依法调查，现查明</w:t>
      </w:r>
      <w:r>
        <w:rPr>
          <w:rFonts w:hint="eastAsia" w:ascii="仿宋" w:hAnsi="仿宋" w:eastAsia="仿宋" w:cs="仿宋"/>
          <w:sz w:val="32"/>
          <w:szCs w:val="32"/>
          <w:lang w:eastAsia="zh-CN" w:bidi="ar-SA"/>
        </w:rPr>
        <w:t>：</w:t>
      </w:r>
    </w:p>
    <w:p w14:paraId="5F9F9EC6">
      <w:pPr>
        <w:keepNext w:val="0"/>
        <w:keepLines w:val="0"/>
        <w:pageBreakBefore w:val="0"/>
        <w:widowControl w:val="0"/>
        <w:kinsoku/>
        <w:wordWrap/>
        <w:overflowPunct/>
        <w:topLinePunct w:val="0"/>
        <w:autoSpaceDE/>
        <w:autoSpaceDN/>
        <w:adjustRightInd w:val="0"/>
        <w:snapToGrid w:val="0"/>
        <w:spacing w:beforeAutospacing="0" w:afterAutospacing="0" w:line="560" w:lineRule="exact"/>
        <w:rPr>
          <w:rFonts w:hint="eastAsia" w:ascii="仿宋" w:hAnsi="仿宋" w:eastAsia="仿宋" w:cs="仿宋"/>
          <w:sz w:val="32"/>
          <w:szCs w:val="32"/>
          <w:u w:val="none"/>
          <w:lang w:bidi="ar-SA"/>
        </w:rPr>
      </w:pPr>
      <w:r>
        <w:rPr>
          <w:rFonts w:hint="eastAsia" w:ascii="仿宋" w:hAnsi="仿宋" w:eastAsia="仿宋" w:cs="仿宋"/>
          <w:bCs/>
          <w:iCs/>
          <w:sz w:val="32"/>
          <w:szCs w:val="32"/>
          <w:u w:val="none"/>
          <w:lang w:val="en-US" w:eastAsia="zh-CN" w:bidi="ar-SA"/>
        </w:rPr>
        <w:t xml:space="preserve">   2025年9月18日</w:t>
      </w:r>
      <w:r>
        <w:rPr>
          <w:rFonts w:hint="eastAsia" w:ascii="仿宋" w:hAnsi="仿宋" w:eastAsia="仿宋" w:cs="仿宋"/>
          <w:sz w:val="32"/>
          <w:szCs w:val="32"/>
          <w:lang w:val="en-US" w:eastAsia="zh-CN" w:bidi="ar-SA"/>
        </w:rPr>
        <w:t>赵县农业农村局执法大队接到群众电话投诉称赵县###无兽药经营许可证在网上销售兽药，望核实、查处。当日赵县农业农村局执法人员来到赵县##</w:t>
      </w:r>
      <w:r>
        <w:rPr>
          <w:rFonts w:hint="eastAsia" w:ascii="仿宋" w:hAnsi="仿宋" w:eastAsia="仿宋" w:cs="仿宋"/>
          <w:sz w:val="32"/>
          <w:szCs w:val="32"/>
          <w:u w:val="none"/>
          <w:lang w:val="en-US" w:eastAsia="zh-CN" w:bidi="ar-SA"/>
        </w:rPr>
        <w:t>，</w:t>
      </w:r>
      <w:r>
        <w:rPr>
          <w:rFonts w:hint="eastAsia" w:ascii="仿宋" w:hAnsi="仿宋" w:eastAsia="仿宋" w:cs="仿宋"/>
          <w:sz w:val="32"/>
          <w:szCs w:val="32"/>
          <w:lang w:val="en-US" w:eastAsia="zh-CN" w:bidi="ar-SA"/>
        </w:rPr>
        <w:t>出示执法证件说明来意后进行检查，当事人在场配合检查。经查其在抖音平台销售铁鹰特比王系列信鸽保健沙，</w:t>
      </w:r>
      <w:r>
        <w:rPr>
          <w:rFonts w:hint="eastAsia" w:ascii="仿宋" w:hAnsi="仿宋" w:eastAsia="仿宋" w:cs="仿宋"/>
          <w:color w:val="auto"/>
          <w:sz w:val="32"/>
          <w:szCs w:val="32"/>
          <w:lang w:val="en-US" w:eastAsia="zh-CN" w:bidi="ar-SA"/>
        </w:rPr>
        <w:t>无实体的兽药经营场所和库存产品，</w:t>
      </w:r>
      <w:r>
        <w:rPr>
          <w:rFonts w:hint="eastAsia" w:ascii="仿宋" w:hAnsi="仿宋" w:eastAsia="仿宋" w:cs="仿宋"/>
          <w:sz w:val="32"/>
          <w:szCs w:val="32"/>
          <w:lang w:val="en-US" w:eastAsia="zh-CN" w:bidi="ar-SA"/>
        </w:rPr>
        <w:t>当事人不能提供兽药经营许可证。当日，</w:t>
      </w:r>
      <w:r>
        <w:rPr>
          <w:rFonts w:hint="eastAsia" w:ascii="仿宋" w:hAnsi="仿宋" w:eastAsia="仿宋" w:cs="仿宋"/>
          <w:color w:val="auto"/>
          <w:sz w:val="32"/>
          <w:szCs w:val="32"/>
          <w:lang w:val="en-US" w:eastAsia="zh-CN" w:bidi="ar-SA"/>
        </w:rPr>
        <w:t>经机关负责人批准立案调查，</w:t>
      </w:r>
      <w:r>
        <w:rPr>
          <w:rFonts w:hint="eastAsia" w:ascii="仿宋" w:hAnsi="仿宋" w:eastAsia="仿宋" w:cs="仿宋"/>
          <w:bCs/>
          <w:iCs/>
          <w:sz w:val="32"/>
          <w:szCs w:val="32"/>
          <w:u w:val="none"/>
          <w:lang w:val="en-US" w:eastAsia="zh-CN" w:bidi="ar-SA"/>
        </w:rPr>
        <w:t>执法人员依法对当事人的身份</w:t>
      </w:r>
      <w:r>
        <w:rPr>
          <w:rFonts w:hint="eastAsia" w:ascii="仿宋" w:hAnsi="仿宋" w:eastAsia="仿宋" w:cs="仿宋"/>
          <w:bCs/>
          <w:iCs/>
          <w:sz w:val="32"/>
          <w:szCs w:val="32"/>
          <w:highlight w:val="none"/>
          <w:u w:val="none"/>
          <w:lang w:val="en-US" w:eastAsia="zh-CN" w:bidi="ar-SA"/>
        </w:rPr>
        <w:t>证复印取</w:t>
      </w:r>
      <w:r>
        <w:rPr>
          <w:rFonts w:hint="eastAsia" w:ascii="仿宋" w:hAnsi="仿宋" w:eastAsia="仿宋" w:cs="仿宋"/>
          <w:bCs/>
          <w:iCs/>
          <w:sz w:val="32"/>
          <w:szCs w:val="32"/>
          <w:u w:val="none"/>
          <w:lang w:val="en-US" w:eastAsia="zh-CN" w:bidi="ar-SA"/>
        </w:rPr>
        <w:t>证，</w:t>
      </w:r>
      <w:r>
        <w:rPr>
          <w:rFonts w:hint="eastAsia" w:ascii="仿宋" w:hAnsi="仿宋" w:eastAsia="仿宋" w:cs="仿宋"/>
          <w:color w:val="auto"/>
          <w:sz w:val="32"/>
          <w:szCs w:val="32"/>
          <w:highlight w:val="none"/>
          <w:u w:val="none"/>
          <w:lang w:val="en-US" w:eastAsia="zh-CN" w:bidi="ar-SA"/>
        </w:rPr>
        <w:t>当场制作了</w:t>
      </w:r>
      <w:r>
        <w:rPr>
          <w:rFonts w:hint="eastAsia" w:ascii="仿宋" w:hAnsi="仿宋" w:eastAsia="仿宋" w:cs="仿宋"/>
          <w:color w:val="auto"/>
          <w:sz w:val="32"/>
          <w:szCs w:val="32"/>
          <w:highlight w:val="none"/>
          <w:lang w:eastAsia="zh-CN" w:bidi="ar-SA"/>
        </w:rPr>
        <w:t>《现场检查笔录</w:t>
      </w:r>
      <w:r>
        <w:rPr>
          <w:rFonts w:hint="eastAsia" w:ascii="仿宋" w:hAnsi="仿宋" w:eastAsia="仿宋" w:cs="仿宋"/>
          <w:color w:val="auto"/>
          <w:sz w:val="32"/>
          <w:szCs w:val="32"/>
          <w:highlight w:val="none"/>
          <w:u w:val="none"/>
          <w:lang w:val="en-US" w:eastAsia="zh-CN" w:bidi="ar-SA"/>
        </w:rPr>
        <w:t>》。当日</w:t>
      </w:r>
      <w:r>
        <w:rPr>
          <w:rFonts w:hint="eastAsia" w:ascii="仿宋" w:hAnsi="仿宋" w:eastAsia="仿宋" w:cs="仿宋"/>
          <w:sz w:val="32"/>
          <w:szCs w:val="32"/>
          <w:lang w:val="en-US" w:eastAsia="zh-CN" w:bidi="ar-SA"/>
        </w:rPr>
        <w:t>对当事人进行调查询问,制作了《询问笔录》，##提供了在网上交易的订单截图。</w:t>
      </w:r>
    </w:p>
    <w:p w14:paraId="3027E1F5">
      <w:pPr>
        <w:keepNext w:val="0"/>
        <w:keepLines w:val="0"/>
        <w:pageBreakBefore w:val="0"/>
        <w:widowControl/>
        <w:kinsoku/>
        <w:wordWrap/>
        <w:overflowPunct/>
        <w:topLinePunct w:val="0"/>
        <w:autoSpaceDE/>
        <w:autoSpaceDN/>
        <w:adjustRightInd/>
        <w:snapToGrid/>
        <w:spacing w:beforeAutospacing="0" w:afterAutospacing="0" w:line="560" w:lineRule="exact"/>
        <w:ind w:firstLine="640" w:firstLineChars="200"/>
        <w:rPr>
          <w:rFonts w:hint="eastAsia" w:ascii="仿宋" w:hAnsi="仿宋" w:eastAsia="仿宋" w:cs="仿宋"/>
          <w:sz w:val="32"/>
          <w:szCs w:val="32"/>
          <w:highlight w:val="none"/>
          <w:lang w:val="en-US" w:eastAsia="zh-CN" w:bidi="ar-SA"/>
        </w:rPr>
      </w:pPr>
      <w:r>
        <w:rPr>
          <w:rFonts w:hint="eastAsia" w:ascii="仿宋" w:hAnsi="仿宋" w:eastAsia="仿宋" w:cs="仿宋"/>
          <w:bCs/>
          <w:iCs/>
          <w:sz w:val="32"/>
          <w:szCs w:val="32"/>
          <w:u w:val="none"/>
          <w:lang w:val="en-US" w:eastAsia="zh-CN" w:bidi="ar-SA"/>
        </w:rPr>
        <w:t>经查，当事人</w:t>
      </w:r>
      <w:r>
        <w:rPr>
          <w:rFonts w:hint="eastAsia" w:ascii="仿宋" w:hAnsi="仿宋" w:eastAsia="仿宋" w:cs="仿宋"/>
          <w:color w:val="000000"/>
          <w:sz w:val="32"/>
          <w:szCs w:val="32"/>
          <w:highlight w:val="none"/>
          <w:u w:val="none"/>
          <w:lang w:val="en-US" w:eastAsia="zh-CN" w:bidi="ar-SA"/>
        </w:rPr>
        <w:t>于2025年4月至9月期间在抖音平台销售</w:t>
      </w:r>
      <w:r>
        <w:rPr>
          <w:rFonts w:hint="eastAsia" w:ascii="仿宋" w:hAnsi="仿宋" w:eastAsia="仿宋" w:cs="仿宋"/>
          <w:sz w:val="32"/>
          <w:szCs w:val="32"/>
          <w:lang w:val="en-US" w:eastAsia="zh-CN" w:bidi="ar-SA"/>
        </w:rPr>
        <w:t>铁鹰特比王系列信鸽保健沙，</w:t>
      </w:r>
      <w:r>
        <w:rPr>
          <w:rFonts w:hint="eastAsia" w:ascii="仿宋" w:hAnsi="仿宋" w:eastAsia="仿宋" w:cs="仿宋"/>
          <w:sz w:val="32"/>
          <w:szCs w:val="32"/>
          <w:highlight w:val="none"/>
          <w:lang w:val="en-US" w:eastAsia="zh-CN" w:bidi="ar-SA"/>
        </w:rPr>
        <w:t>构成了</w:t>
      </w:r>
      <w:r>
        <w:rPr>
          <w:rFonts w:hint="eastAsia" w:ascii="仿宋" w:hAnsi="仿宋" w:eastAsia="仿宋" w:cs="仿宋"/>
          <w:sz w:val="32"/>
          <w:szCs w:val="32"/>
          <w:u w:val="none"/>
          <w:lang w:val="en-US" w:eastAsia="zh-CN" w:bidi="ar-SA"/>
        </w:rPr>
        <w:t>无兽药经营许可证经营兽药的事</w:t>
      </w:r>
      <w:r>
        <w:rPr>
          <w:rFonts w:hint="eastAsia" w:ascii="仿宋" w:hAnsi="仿宋" w:eastAsia="仿宋" w:cs="仿宋"/>
          <w:sz w:val="32"/>
          <w:szCs w:val="32"/>
          <w:highlight w:val="none"/>
          <w:lang w:val="en-US" w:eastAsia="zh-CN" w:bidi="ar-SA"/>
        </w:rPr>
        <w:t>实。涉案产品的货值金额为327元，当事人的违法所得为327元。</w:t>
      </w:r>
    </w:p>
    <w:p w14:paraId="25878780">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sz w:val="32"/>
          <w:szCs w:val="32"/>
          <w:u w:val="none"/>
          <w:lang w:val="en-US" w:eastAsia="zh-CN" w:bidi="ar-SA"/>
        </w:rPr>
      </w:pPr>
      <w:r>
        <w:rPr>
          <w:rFonts w:hint="eastAsia" w:ascii="仿宋" w:hAnsi="仿宋" w:eastAsia="仿宋" w:cs="仿宋"/>
          <w:sz w:val="32"/>
          <w:szCs w:val="32"/>
          <w:u w:val="none"/>
          <w:lang w:val="en-US" w:eastAsia="zh-CN" w:bidi="ar-SA"/>
        </w:rPr>
        <w:t>上述事实，主要有以下证眀：</w:t>
      </w:r>
    </w:p>
    <w:p w14:paraId="7EB636F0">
      <w:pPr>
        <w:keepNext w:val="0"/>
        <w:keepLines w:val="0"/>
        <w:pageBreakBefore w:val="0"/>
        <w:widowControl w:val="0"/>
        <w:numPr>
          <w:ilvl w:val="0"/>
          <w:numId w:val="1"/>
        </w:numPr>
        <w:kinsoku/>
        <w:wordWrap/>
        <w:overflowPunct/>
        <w:topLinePunct w:val="0"/>
        <w:autoSpaceDE/>
        <w:autoSpaceDN/>
        <w:adjustRightInd w:val="0"/>
        <w:snapToGrid w:val="0"/>
        <w:spacing w:line="560" w:lineRule="exact"/>
        <w:ind w:left="0"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当事人##身份证复印件，证明当事人的身份</w:t>
      </w:r>
    </w:p>
    <w:p w14:paraId="7AC9C4D0">
      <w:pPr>
        <w:keepNext w:val="0"/>
        <w:keepLines w:val="0"/>
        <w:pageBreakBefore w:val="0"/>
        <w:widowControl w:val="0"/>
        <w:numPr>
          <w:ilvl w:val="0"/>
          <w:numId w:val="1"/>
        </w:numPr>
        <w:kinsoku/>
        <w:wordWrap/>
        <w:overflowPunct/>
        <w:topLinePunct w:val="0"/>
        <w:autoSpaceDE/>
        <w:autoSpaceDN/>
        <w:adjustRightInd w:val="0"/>
        <w:snapToGrid w:val="0"/>
        <w:spacing w:line="560" w:lineRule="exact"/>
        <w:ind w:left="0"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 xml:space="preserve">对当事人##的《询问笔录》1份，网上交易的订单截图1份，证明当事人无兽药经营许可证经营兽药的事实。  </w:t>
      </w:r>
    </w:p>
    <w:p w14:paraId="49AD514E">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jc w:val="left"/>
        <w:rPr>
          <w:rFonts w:hint="eastAsia" w:ascii="仿宋" w:hAnsi="仿宋" w:eastAsia="仿宋" w:cs="仿宋"/>
          <w:sz w:val="32"/>
          <w:szCs w:val="32"/>
          <w:u w:val="none"/>
          <w:lang w:val="en-US" w:eastAsia="zh-CN" w:bidi="ar-SA"/>
        </w:rPr>
      </w:pPr>
      <w:r>
        <w:rPr>
          <w:rFonts w:hint="eastAsia" w:ascii="仿宋" w:hAnsi="仿宋" w:eastAsia="仿宋" w:cs="仿宋"/>
          <w:sz w:val="32"/>
          <w:szCs w:val="32"/>
          <w:lang w:val="en-US" w:eastAsia="zh-CN" w:bidi="ar-SA"/>
        </w:rPr>
        <w:t>2025年9月18日</w:t>
      </w:r>
      <w:r>
        <w:rPr>
          <w:rFonts w:hint="eastAsia" w:ascii="仿宋" w:hAnsi="仿宋" w:eastAsia="仿宋" w:cs="仿宋"/>
          <w:color w:val="000000"/>
          <w:sz w:val="32"/>
          <w:szCs w:val="32"/>
          <w:lang w:val="en-US" w:eastAsia="zh-CN" w:bidi="ar-SA"/>
        </w:rPr>
        <w:t>本机</w:t>
      </w:r>
      <w:r>
        <w:rPr>
          <w:rFonts w:hint="eastAsia" w:ascii="仿宋" w:hAnsi="仿宋" w:eastAsia="仿宋" w:cs="仿宋"/>
          <w:color w:val="auto"/>
          <w:sz w:val="32"/>
          <w:szCs w:val="32"/>
          <w:lang w:val="en-US" w:eastAsia="zh-CN" w:bidi="ar-SA"/>
        </w:rPr>
        <w:t>关</w:t>
      </w:r>
      <w:r>
        <w:rPr>
          <w:rFonts w:hint="eastAsia" w:ascii="仿宋" w:hAnsi="仿宋" w:eastAsia="仿宋" w:cs="仿宋"/>
          <w:sz w:val="32"/>
          <w:szCs w:val="32"/>
          <w:lang w:val="en-US" w:eastAsia="zh-CN" w:bidi="ar-SA"/>
        </w:rPr>
        <w:t>向当事人直接送达了《赵县农业农村局行政处罚事先告知书》【赵农（兽药）罚告〔2025〕1号】， 告知了当事人拟作出的行政处罚内容、事实、理由、依据及当事人依法享有的陈述、申辩和听证的权利。当事人在规定的时间内没有进行陈述、申辩，也没有申请听证。</w:t>
      </w:r>
    </w:p>
    <w:p w14:paraId="39D2EBBF">
      <w:pPr>
        <w:spacing w:line="560" w:lineRule="exact"/>
        <w:ind w:firstLine="640" w:firstLineChars="200"/>
        <w:rPr>
          <w:rFonts w:hint="eastAsia" w:ascii="仿宋" w:hAnsi="仿宋" w:eastAsia="仿宋" w:cs="仿宋"/>
          <w:color w:val="000000"/>
          <w:sz w:val="32"/>
          <w:szCs w:val="32"/>
          <w:lang w:val="en-US" w:eastAsia="zh-CN" w:bidi="ar-SA"/>
        </w:rPr>
      </w:pPr>
      <w:r>
        <w:rPr>
          <w:rFonts w:hint="eastAsia" w:ascii="仿宋" w:hAnsi="仿宋" w:eastAsia="仿宋" w:cs="仿宋"/>
          <w:sz w:val="32"/>
          <w:szCs w:val="32"/>
          <w:lang w:val="en-US" w:eastAsia="zh-CN" w:bidi="ar-SA"/>
        </w:rPr>
        <w:t>本机关认为，</w:t>
      </w:r>
      <w:r>
        <w:rPr>
          <w:rFonts w:hint="eastAsia" w:ascii="仿宋" w:hAnsi="仿宋" w:eastAsia="仿宋" w:cs="仿宋"/>
          <w:sz w:val="32"/>
          <w:szCs w:val="32"/>
          <w:u w:val="none"/>
          <w:lang w:val="en-US" w:eastAsia="zh-CN" w:bidi="ar-SA"/>
        </w:rPr>
        <w:t>当事人的行为</w:t>
      </w:r>
      <w:r>
        <w:rPr>
          <w:rFonts w:hint="eastAsia" w:ascii="仿宋" w:hAnsi="仿宋" w:eastAsia="仿宋" w:cs="仿宋"/>
          <w:color w:val="000000"/>
          <w:sz w:val="32"/>
          <w:szCs w:val="32"/>
          <w:lang w:bidi="ar-SA"/>
        </w:rPr>
        <w:t>违反了</w:t>
      </w:r>
      <w:r>
        <w:rPr>
          <w:rFonts w:hint="eastAsia" w:ascii="仿宋" w:hAnsi="仿宋" w:eastAsia="仿宋" w:cs="仿宋"/>
          <w:sz w:val="32"/>
          <w:szCs w:val="32"/>
          <w:u w:val="none"/>
          <w:lang w:val="en-US" w:eastAsia="zh-CN" w:bidi="ar-SA"/>
        </w:rPr>
        <w:t>《兽药管理条例》第二十二条“经营兽药的企业，应当具备下列条件：(一)与所经营的兽药相适应的兽药技术人员；(二)与所经营的兽药相适应的营业场所、设备、仓库设施；(三)与所经营的兽药相适应的质量管理机构或者人员；(四)兽药经营质量管理规范规定的其他经营条件。符合前款规定条件的，申请人方可向市、县人民政府兽医行政管理部门提出申请，并附具符合前款规定条件的证明材料；经营兽用生物制品的，应当向省、自治区、直辖市人民政府兽医行政管理部门提出申请，并附具符合前款规定条件的证明材料。县级以上地方人民政府兽医行政管理部门，应当自收到申请之日起30个工作日内完成审查。审查合格的，发给兽药经营许可证；不合格的，应当书面通知申请人”</w:t>
      </w:r>
      <w:r>
        <w:rPr>
          <w:rFonts w:hint="eastAsia" w:ascii="仿宋" w:hAnsi="仿宋" w:eastAsia="仿宋" w:cs="仿宋"/>
          <w:color w:val="000000"/>
          <w:sz w:val="32"/>
          <w:szCs w:val="32"/>
          <w:lang w:val="en-US" w:eastAsia="zh-CN" w:bidi="ar-SA"/>
        </w:rPr>
        <w:t>的规定。</w:t>
      </w:r>
      <w:r>
        <w:rPr>
          <w:rFonts w:hint="eastAsia" w:ascii="仿宋" w:hAnsi="仿宋" w:eastAsia="仿宋" w:cs="仿宋"/>
          <w:sz w:val="32"/>
          <w:szCs w:val="32"/>
          <w:u w:val="none"/>
          <w:lang w:val="en-US" w:eastAsia="zh-CN" w:bidi="ar-SA"/>
        </w:rPr>
        <w:t>依据《兽药管理条例》</w:t>
      </w:r>
      <w:r>
        <w:rPr>
          <w:rFonts w:hint="eastAsia" w:ascii="仿宋" w:hAnsi="仿宋" w:eastAsia="仿宋" w:cs="仿宋"/>
          <w:color w:val="2B2B2B"/>
          <w:spacing w:val="0"/>
          <w:sz w:val="32"/>
          <w:szCs w:val="32"/>
          <w:shd w:val="clear" w:color="auto" w:fill="FFFFFF"/>
          <w:lang w:bidi="ar-SA"/>
        </w:rPr>
        <w:t>第</w:t>
      </w:r>
      <w:r>
        <w:rPr>
          <w:rFonts w:hint="eastAsia" w:ascii="仿宋" w:hAnsi="仿宋" w:eastAsia="仿宋" w:cs="仿宋"/>
          <w:color w:val="2B2B2B"/>
          <w:spacing w:val="0"/>
          <w:sz w:val="32"/>
          <w:szCs w:val="32"/>
          <w:shd w:val="clear" w:color="auto" w:fill="FFFFFF"/>
          <w:lang w:val="en-US" w:eastAsia="zh-CN" w:bidi="ar-SA"/>
        </w:rPr>
        <w:t>五十六条第一款</w:t>
      </w:r>
      <w:r>
        <w:rPr>
          <w:rFonts w:hint="eastAsia" w:ascii="仿宋" w:hAnsi="仿宋" w:eastAsia="仿宋" w:cs="仿宋"/>
          <w:sz w:val="32"/>
          <w:szCs w:val="32"/>
          <w:u w:val="none"/>
          <w:lang w:val="en-US" w:eastAsia="zh-CN" w:bidi="ar-SA"/>
        </w:rPr>
        <w:t>“</w:t>
      </w:r>
      <w:r>
        <w:rPr>
          <w:rFonts w:hint="eastAsia" w:ascii="仿宋" w:hAnsi="仿宋" w:eastAsia="仿宋" w:cs="仿宋"/>
          <w:sz w:val="32"/>
          <w:szCs w:val="32"/>
          <w:lang w:bidi="ar-SA"/>
        </w:rPr>
        <w:t>违反本条例规定，无兽药生产许可证、兽药经营许可证生产、经营兽药的，或者虽有兽药生产许可证、兽药经营许可证，生产、经营假、劣兽药的，或者兽药经营企业经营人用药品的，责令其停止生产、经营，没收用于违法生产的原料、辅料、包装材料及生产、经营的兽药和违法所得，并处违法生产、经营的兽药(包括已出售的和未出售的兽药，下同)货值金额2倍以上5倍以下罚款，货值金额无法查证核实的，处10万元以上20万元以下罚款；无兽药生产许可证生产兽药，情节严重的，没收其生产设备；生产、经营假、劣兽药，情节严重的，吊销兽药生产许可证、兽药经营许可证；构成犯罪的，依法追究刑事责任；给他人造成损失的，依法承担赔偿责任。生产、经营企业的主要负责人和直接负责的主管人员终身不得从事兽药的生产、经营活动。</w:t>
      </w:r>
      <w:r>
        <w:rPr>
          <w:rFonts w:hint="eastAsia" w:ascii="仿宋" w:hAnsi="仿宋" w:eastAsia="仿宋" w:cs="仿宋"/>
          <w:sz w:val="32"/>
          <w:szCs w:val="32"/>
          <w:u w:val="none"/>
          <w:lang w:val="en-US" w:eastAsia="zh-CN" w:bidi="ar-SA"/>
        </w:rPr>
        <w:t>”</w:t>
      </w:r>
      <w:r>
        <w:rPr>
          <w:rFonts w:hint="eastAsia" w:ascii="仿宋" w:hAnsi="仿宋" w:eastAsia="仿宋" w:cs="仿宋"/>
          <w:color w:val="2B2B2B"/>
          <w:spacing w:val="0"/>
          <w:sz w:val="32"/>
          <w:szCs w:val="32"/>
          <w:shd w:val="clear" w:color="auto" w:fill="FFFFFF"/>
          <w:lang w:val="en-US" w:eastAsia="zh-CN" w:bidi="ar-SA"/>
        </w:rPr>
        <w:t>之规定。</w:t>
      </w:r>
      <w:r>
        <w:rPr>
          <w:rFonts w:hint="eastAsia" w:ascii="仿宋" w:hAnsi="仿宋" w:eastAsia="仿宋" w:cs="仿宋"/>
          <w:color w:val="000000"/>
          <w:sz w:val="32"/>
          <w:szCs w:val="32"/>
          <w:lang w:val="en-US" w:eastAsia="zh-CN" w:bidi="ar-SA"/>
        </w:rPr>
        <w:t>参照</w:t>
      </w:r>
      <w:r>
        <w:rPr>
          <w:rFonts w:hint="eastAsia" w:ascii="仿宋" w:hAnsi="仿宋" w:eastAsia="仿宋" w:cs="仿宋"/>
          <w:sz w:val="32"/>
          <w:szCs w:val="32"/>
          <w:lang w:val="en-US" w:eastAsia="zh-CN" w:bidi="ar-SA"/>
        </w:rPr>
        <w:t>《河北省农业行政处罚裁量权基准（2024年修订）》九、河北省农业行政处罚裁量权基准（</w:t>
      </w:r>
      <w:r>
        <w:rPr>
          <w:rFonts w:hint="eastAsia" w:ascii="仿宋" w:hAnsi="仿宋" w:eastAsia="仿宋" w:cs="仿宋"/>
          <w:color w:val="000000"/>
          <w:sz w:val="32"/>
          <w:szCs w:val="32"/>
          <w:lang w:val="en-US" w:eastAsia="zh-CN" w:bidi="ar-SA"/>
        </w:rPr>
        <w:t>兽药</w:t>
      </w:r>
      <w:r>
        <w:rPr>
          <w:rFonts w:hint="eastAsia" w:ascii="仿宋" w:hAnsi="仿宋" w:eastAsia="仿宋" w:cs="仿宋"/>
          <w:sz w:val="32"/>
          <w:szCs w:val="32"/>
          <w:lang w:val="en-US" w:eastAsia="zh-CN" w:bidi="ar-SA"/>
        </w:rPr>
        <w:t>部分）</w:t>
      </w:r>
      <w:r>
        <w:rPr>
          <w:rFonts w:hint="eastAsia" w:ascii="仿宋" w:hAnsi="仿宋" w:eastAsia="仿宋" w:cs="仿宋"/>
          <w:color w:val="000000"/>
          <w:sz w:val="32"/>
          <w:szCs w:val="32"/>
          <w:lang w:val="en-US" w:eastAsia="zh-CN" w:bidi="ar-SA"/>
        </w:rPr>
        <w:t>序号2“违法种类：无兽药经营许可证经营兽药的。法定依据：《兽药管理条例》第五十六条。裁量幅度：轻微。适用条件：初次违法的；违法情形轻微的；主动改正违法行为的；经营兽药货值金额在不足2000元的。裁量基准：责令其停止经营，没收经营的兽药和违法所得，并处货值金额2倍罚款，货值金额无法查证核实的，处10万元罚款。”的规定。</w:t>
      </w:r>
      <w:r>
        <w:rPr>
          <w:rFonts w:hint="eastAsia" w:ascii="仿宋" w:hAnsi="仿宋" w:eastAsia="仿宋" w:cs="仿宋"/>
          <w:kern w:val="2"/>
          <w:sz w:val="32"/>
          <w:szCs w:val="32"/>
          <w:u w:val="none"/>
          <w:lang w:val="en-US" w:eastAsia="zh-CN" w:bidi="ar-SA"/>
        </w:rPr>
        <w:t>本机关</w:t>
      </w:r>
      <w:r>
        <w:rPr>
          <w:rFonts w:hint="eastAsia" w:ascii="仿宋" w:hAnsi="仿宋" w:eastAsia="仿宋" w:cs="仿宋"/>
          <w:color w:val="000000"/>
          <w:sz w:val="32"/>
          <w:szCs w:val="32"/>
          <w:lang w:bidi="ar-SA"/>
        </w:rPr>
        <w:t>作出如下行政</w:t>
      </w:r>
      <w:r>
        <w:rPr>
          <w:rFonts w:hint="eastAsia" w:ascii="仿宋" w:hAnsi="仿宋" w:eastAsia="仿宋" w:cs="仿宋"/>
          <w:color w:val="000000"/>
          <w:sz w:val="32"/>
          <w:szCs w:val="32"/>
          <w:lang w:val="en-US" w:eastAsia="zh-CN" w:bidi="ar-SA"/>
        </w:rPr>
        <w:t>处罚决定：</w:t>
      </w:r>
    </w:p>
    <w:p w14:paraId="66DE9036">
      <w:pPr>
        <w:spacing w:line="560" w:lineRule="exact"/>
        <w:ind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bidi="ar-SA"/>
        </w:rPr>
        <w:t>一</w:t>
      </w:r>
      <w:r>
        <w:rPr>
          <w:rFonts w:hint="eastAsia" w:ascii="仿宋" w:hAnsi="仿宋" w:eastAsia="仿宋" w:cs="仿宋"/>
          <w:sz w:val="32"/>
          <w:szCs w:val="32"/>
          <w:lang w:val="en-US" w:eastAsia="zh-CN" w:bidi="ar-SA"/>
        </w:rPr>
        <w:t>、没收违法所得327元。</w:t>
      </w:r>
    </w:p>
    <w:p w14:paraId="5C9329C5">
      <w:pPr>
        <w:spacing w:line="560" w:lineRule="exact"/>
        <w:ind w:left="0"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二、罚款654元。</w:t>
      </w:r>
    </w:p>
    <w:p w14:paraId="78B27B2C">
      <w:pPr>
        <w:spacing w:line="560" w:lineRule="exact"/>
        <w:ind w:firstLine="640" w:firstLineChars="200"/>
        <w:rPr>
          <w:rFonts w:hint="eastAsia" w:ascii="仿宋" w:hAnsi="仿宋" w:eastAsia="仿宋" w:cs="仿宋"/>
          <w:sz w:val="32"/>
          <w:szCs w:val="32"/>
          <w:lang w:val="en-US" w:eastAsia="zh-CN" w:bidi="ar-SA"/>
        </w:rPr>
      </w:pPr>
      <w:r>
        <w:rPr>
          <w:rFonts w:hint="eastAsia" w:ascii="仿宋" w:hAnsi="仿宋" w:eastAsia="仿宋" w:cs="仿宋"/>
          <w:sz w:val="32"/>
          <w:szCs w:val="32"/>
          <w:lang w:val="en-US" w:eastAsia="zh-CN" w:bidi="ar-SA"/>
        </w:rPr>
        <w:t>没收违法所得和罚款合计981元。</w:t>
      </w:r>
    </w:p>
    <w:p w14:paraId="7B76D1F7">
      <w:pPr>
        <w:keepNext w:val="0"/>
        <w:keepLines w:val="0"/>
        <w:pageBreakBefore w:val="0"/>
        <w:widowControl w:val="0"/>
        <w:kinsoku/>
        <w:wordWrap/>
        <w:overflowPunct/>
        <w:topLinePunct w:val="0"/>
        <w:autoSpaceDE/>
        <w:autoSpaceDN/>
        <w:spacing w:line="560" w:lineRule="exact"/>
        <w:ind w:left="0" w:firstLine="640" w:firstLineChars="200"/>
        <w:rPr>
          <w:rFonts w:hint="eastAsia" w:ascii="仿宋" w:hAnsi="仿宋" w:eastAsia="仿宋" w:cs="仿宋"/>
          <w:sz w:val="32"/>
          <w:szCs w:val="32"/>
          <w:lang w:bidi="ar-SA"/>
        </w:rPr>
      </w:pPr>
      <w:r>
        <w:rPr>
          <w:rFonts w:hint="eastAsia" w:ascii="仿宋" w:hAnsi="仿宋" w:eastAsia="仿宋" w:cs="仿宋"/>
          <w:sz w:val="32"/>
          <w:szCs w:val="32"/>
          <w:lang w:bidi="ar-SA"/>
        </w:rPr>
        <w:t>当事人必须在收到本处罚决定书之日起15日内持本决定书</w:t>
      </w:r>
      <w:r>
        <w:rPr>
          <w:rFonts w:hint="eastAsia" w:ascii="仿宋" w:hAnsi="仿宋" w:eastAsia="仿宋" w:cs="仿宋"/>
          <w:sz w:val="32"/>
          <w:szCs w:val="32"/>
          <w:lang w:val="en-US" w:eastAsia="zh-CN" w:bidi="ar-SA"/>
        </w:rPr>
        <w:t>到中国银行赵县支行</w:t>
      </w:r>
      <w:r>
        <w:rPr>
          <w:rFonts w:hint="eastAsia" w:ascii="仿宋" w:hAnsi="仿宋" w:eastAsia="仿宋" w:cs="仿宋"/>
          <w:sz w:val="32"/>
          <w:szCs w:val="32"/>
          <w:u w:val="none"/>
          <w:lang w:val="en-US" w:eastAsia="zh-CN" w:bidi="ar-SA"/>
        </w:rPr>
        <w:t>或者通过电子支付系统</w:t>
      </w:r>
      <w:r>
        <w:rPr>
          <w:rFonts w:hint="eastAsia" w:ascii="仿宋" w:hAnsi="仿宋" w:eastAsia="仿宋" w:cs="仿宋"/>
          <w:sz w:val="32"/>
          <w:szCs w:val="32"/>
          <w:lang w:bidi="ar-SA"/>
        </w:rPr>
        <w:t>缴纳罚款。逾期不按规定缴纳罚款的，每日按罚款数额的3%加处罚款。</w:t>
      </w:r>
    </w:p>
    <w:p w14:paraId="0695F382">
      <w:pPr>
        <w:keepNext w:val="0"/>
        <w:keepLines w:val="0"/>
        <w:pageBreakBefore w:val="0"/>
        <w:widowControl w:val="0"/>
        <w:kinsoku/>
        <w:wordWrap/>
        <w:overflowPunct/>
        <w:topLinePunct w:val="0"/>
        <w:autoSpaceDE/>
        <w:autoSpaceDN/>
        <w:spacing w:line="560" w:lineRule="exact"/>
        <w:ind w:firstLine="640" w:firstLineChars="200"/>
        <w:rPr>
          <w:rFonts w:hint="eastAsia" w:ascii="仿宋" w:hAnsi="仿宋" w:eastAsia="仿宋" w:cs="仿宋"/>
          <w:sz w:val="32"/>
          <w:szCs w:val="32"/>
          <w:lang w:bidi="ar-SA"/>
        </w:rPr>
      </w:pPr>
      <w:r>
        <w:rPr>
          <w:rFonts w:hint="eastAsia" w:ascii="仿宋" w:hAnsi="仿宋" w:eastAsia="仿宋" w:cs="仿宋"/>
          <w:sz w:val="32"/>
          <w:szCs w:val="32"/>
          <w:lang w:bidi="ar-SA"/>
        </w:rPr>
        <w:t>当事人对本处罚决定不服的，可以在收到本处罚决定书之日起六十日内向</w:t>
      </w:r>
      <w:r>
        <w:rPr>
          <w:rFonts w:hint="eastAsia" w:ascii="仿宋" w:hAnsi="仿宋" w:eastAsia="仿宋" w:cs="仿宋"/>
          <w:sz w:val="32"/>
          <w:szCs w:val="32"/>
          <w:u w:val="none"/>
          <w:lang w:val="en-US" w:eastAsia="zh-CN" w:bidi="ar-SA"/>
        </w:rPr>
        <w:t>赵县人民政府</w:t>
      </w:r>
      <w:r>
        <w:rPr>
          <w:rFonts w:hint="eastAsia" w:ascii="仿宋" w:hAnsi="仿宋" w:eastAsia="仿宋" w:cs="仿宋"/>
          <w:sz w:val="32"/>
          <w:szCs w:val="32"/>
          <w:lang w:bidi="ar-SA"/>
        </w:rPr>
        <w:t>申请行政复议；或者六个月内向</w:t>
      </w:r>
      <w:r>
        <w:rPr>
          <w:rFonts w:hint="eastAsia" w:ascii="仿宋" w:hAnsi="仿宋" w:eastAsia="仿宋" w:cs="仿宋"/>
          <w:sz w:val="32"/>
          <w:szCs w:val="32"/>
          <w:u w:val="none"/>
          <w:lang w:val="en-US" w:eastAsia="zh-CN" w:bidi="ar-SA"/>
        </w:rPr>
        <w:t>赵县</w:t>
      </w:r>
      <w:r>
        <w:rPr>
          <w:rFonts w:hint="eastAsia" w:ascii="仿宋" w:hAnsi="仿宋" w:eastAsia="仿宋" w:cs="仿宋"/>
          <w:sz w:val="32"/>
          <w:szCs w:val="32"/>
          <w:lang w:bidi="ar-SA"/>
        </w:rPr>
        <w:t>人民法院提起行政诉讼。行政复议和行政诉讼期间，本处罚决定不停止执行。</w:t>
      </w:r>
    </w:p>
    <w:p w14:paraId="65C7BD94">
      <w:pPr>
        <w:keepNext w:val="0"/>
        <w:keepLines w:val="0"/>
        <w:pageBreakBefore w:val="0"/>
        <w:widowControl w:val="0"/>
        <w:kinsoku/>
        <w:wordWrap/>
        <w:overflowPunct/>
        <w:topLinePunct w:val="0"/>
        <w:autoSpaceDE/>
        <w:autoSpaceDN/>
        <w:spacing w:line="560" w:lineRule="exact"/>
        <w:ind w:firstLine="640" w:firstLineChars="200"/>
        <w:rPr>
          <w:rFonts w:hint="eastAsia" w:ascii="仿宋" w:hAnsi="仿宋" w:eastAsia="仿宋" w:cs="仿宋"/>
          <w:sz w:val="32"/>
          <w:szCs w:val="32"/>
          <w:lang w:bidi="ar-SA"/>
        </w:rPr>
      </w:pPr>
      <w:r>
        <w:rPr>
          <w:rFonts w:hint="eastAsia" w:ascii="仿宋" w:hAnsi="仿宋" w:eastAsia="仿宋" w:cs="仿宋"/>
          <w:sz w:val="32"/>
          <w:szCs w:val="32"/>
          <w:lang w:bidi="ar-SA"/>
        </w:rPr>
        <w:t>当事人逾期不申请行政复议或者提起行政诉讼，也不履行本行政处罚决定的，本机关将依法申请人民法院强制执行。</w:t>
      </w:r>
    </w:p>
    <w:p w14:paraId="75336197">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仿宋" w:hAnsi="仿宋" w:eastAsia="仿宋" w:cs="仿宋"/>
          <w:sz w:val="32"/>
          <w:szCs w:val="32"/>
          <w:lang w:bidi="ar-SA"/>
        </w:rPr>
      </w:pPr>
      <w:r>
        <w:rPr>
          <w:rFonts w:hint="eastAsia" w:ascii="仿宋" w:hAnsi="仿宋" w:eastAsia="仿宋" w:cs="仿宋"/>
          <w:sz w:val="32"/>
          <w:szCs w:val="32"/>
          <w:lang w:eastAsia="zh-CN" w:bidi="ar-SA"/>
        </w:rPr>
        <w:t>罚没许可证编号：罚证字第</w:t>
      </w:r>
      <w:r>
        <w:rPr>
          <w:rFonts w:hint="eastAsia" w:ascii="仿宋" w:hAnsi="仿宋" w:eastAsia="仿宋" w:cs="仿宋"/>
          <w:sz w:val="32"/>
          <w:szCs w:val="32"/>
          <w:lang w:val="en-US" w:eastAsia="zh-CN" w:bidi="ar-SA"/>
        </w:rPr>
        <w:t>01-14-0026号</w:t>
      </w:r>
      <w:r>
        <w:rPr>
          <w:rFonts w:hint="eastAsia" w:ascii="仿宋" w:hAnsi="仿宋" w:eastAsia="仿宋" w:cs="仿宋"/>
          <w:sz w:val="32"/>
          <w:szCs w:val="32"/>
          <w:lang w:bidi="ar-SA"/>
        </w:rPr>
        <w:t xml:space="preserve"> </w:t>
      </w:r>
    </w:p>
    <w:p w14:paraId="648ECC09">
      <w:pPr>
        <w:keepNext w:val="0"/>
        <w:keepLines w:val="0"/>
        <w:pageBreakBefore w:val="0"/>
        <w:widowControl w:val="0"/>
        <w:kinsoku/>
        <w:wordWrap/>
        <w:overflowPunct/>
        <w:topLinePunct w:val="0"/>
        <w:autoSpaceDE/>
        <w:autoSpaceDN/>
        <w:spacing w:before="156" w:beforeLines="50" w:line="560" w:lineRule="exact"/>
        <w:ind w:right="320"/>
        <w:rPr>
          <w:rFonts w:hint="eastAsia" w:ascii="仿宋" w:hAnsi="仿宋" w:eastAsia="仿宋" w:cs="仿宋"/>
          <w:sz w:val="32"/>
          <w:szCs w:val="32"/>
          <w:lang w:bidi="ar-SA"/>
        </w:rPr>
      </w:pPr>
      <w:r>
        <w:rPr>
          <w:rFonts w:hint="eastAsia" w:ascii="仿宋" w:hAnsi="仿宋" w:eastAsia="仿宋" w:cs="仿宋"/>
          <w:sz w:val="32"/>
          <w:szCs w:val="32"/>
          <w:lang w:bidi="ar-SA"/>
        </w:rPr>
        <w:t xml:space="preserve">                                                                                          </w:t>
      </w:r>
    </w:p>
    <w:p w14:paraId="5CC6F2DC">
      <w:pPr>
        <w:keepNext w:val="0"/>
        <w:keepLines w:val="0"/>
        <w:pageBreakBefore w:val="0"/>
        <w:widowControl w:val="0"/>
        <w:kinsoku/>
        <w:wordWrap/>
        <w:overflowPunct/>
        <w:topLinePunct w:val="0"/>
        <w:autoSpaceDE/>
        <w:autoSpaceDN/>
        <w:spacing w:before="156" w:beforeLines="50" w:line="560" w:lineRule="exact"/>
        <w:ind w:right="1166"/>
        <w:rPr>
          <w:rFonts w:hint="eastAsia" w:ascii="仿宋" w:hAnsi="仿宋" w:eastAsia="仿宋" w:cs="仿宋"/>
          <w:sz w:val="32"/>
          <w:szCs w:val="32"/>
          <w:lang w:val="en-US" w:eastAsia="zh-CN" w:bidi="ar-SA"/>
        </w:rPr>
      </w:pPr>
    </w:p>
    <w:p w14:paraId="0D9A9015">
      <w:pPr>
        <w:keepNext w:val="0"/>
        <w:keepLines w:val="0"/>
        <w:pageBreakBefore w:val="0"/>
        <w:widowControl w:val="0"/>
        <w:kinsoku/>
        <w:wordWrap/>
        <w:overflowPunct/>
        <w:topLinePunct w:val="0"/>
        <w:autoSpaceDE/>
        <w:autoSpaceDN/>
        <w:spacing w:before="156" w:beforeLines="50" w:line="560" w:lineRule="exact"/>
        <w:ind w:right="1166" w:firstLine="4800" w:firstLineChars="1500"/>
        <w:rPr>
          <w:rFonts w:hint="eastAsia" w:ascii="仿宋" w:hAnsi="仿宋" w:eastAsia="仿宋" w:cs="仿宋"/>
          <w:sz w:val="32"/>
          <w:szCs w:val="32"/>
          <w:lang w:eastAsia="zh-CN" w:bidi="ar-SA"/>
        </w:rPr>
      </w:pPr>
      <w:r>
        <w:rPr>
          <w:rFonts w:hint="eastAsia" w:ascii="仿宋" w:hAnsi="仿宋" w:eastAsia="仿宋" w:cs="仿宋"/>
          <w:sz w:val="32"/>
          <w:szCs w:val="32"/>
          <w:lang w:val="en-US" w:eastAsia="zh-CN" w:bidi="ar-SA"/>
        </w:rPr>
        <w:t>赵县</w:t>
      </w:r>
      <w:r>
        <w:rPr>
          <w:rFonts w:hint="eastAsia" w:ascii="仿宋" w:hAnsi="仿宋" w:eastAsia="仿宋" w:cs="仿宋"/>
          <w:sz w:val="32"/>
          <w:szCs w:val="32"/>
          <w:lang w:eastAsia="zh-CN" w:bidi="ar-SA"/>
        </w:rPr>
        <w:t>农业农村局</w:t>
      </w:r>
    </w:p>
    <w:p w14:paraId="02AFC564">
      <w:pPr>
        <w:keepNext w:val="0"/>
        <w:keepLines w:val="0"/>
        <w:pageBreakBefore w:val="0"/>
        <w:widowControl w:val="0"/>
        <w:kinsoku/>
        <w:wordWrap/>
        <w:overflowPunct/>
        <w:topLinePunct w:val="0"/>
        <w:autoSpaceDE/>
        <w:autoSpaceDN/>
        <w:spacing w:before="156" w:beforeLines="50" w:line="560" w:lineRule="exact"/>
        <w:ind w:right="320"/>
        <w:jc w:val="center"/>
        <w:rPr>
          <w:rFonts w:hint="eastAsia" w:ascii="仿宋" w:hAnsi="仿宋" w:eastAsia="仿宋" w:cs="仿宋"/>
          <w:sz w:val="32"/>
          <w:szCs w:val="32"/>
          <w:lang w:bidi="ar-SA"/>
        </w:rPr>
      </w:pPr>
      <w:r>
        <w:rPr>
          <w:rFonts w:hint="eastAsia" w:ascii="仿宋" w:hAnsi="仿宋" w:eastAsia="仿宋" w:cs="仿宋"/>
          <w:sz w:val="32"/>
          <w:szCs w:val="32"/>
          <w:lang w:bidi="ar-SA"/>
        </w:rPr>
        <w:t xml:space="preserve">                       </w:t>
      </w:r>
      <w:r>
        <w:rPr>
          <w:rFonts w:hint="eastAsia" w:ascii="仿宋" w:hAnsi="仿宋" w:eastAsia="仿宋" w:cs="仿宋"/>
          <w:sz w:val="32"/>
          <w:szCs w:val="32"/>
          <w:lang w:val="en-US" w:eastAsia="zh-CN" w:bidi="ar-SA"/>
        </w:rPr>
        <w:t xml:space="preserve">  2025</w:t>
      </w:r>
      <w:r>
        <w:rPr>
          <w:rFonts w:hint="eastAsia" w:ascii="仿宋" w:hAnsi="仿宋" w:eastAsia="仿宋" w:cs="仿宋"/>
          <w:sz w:val="32"/>
          <w:szCs w:val="32"/>
          <w:lang w:bidi="ar-SA"/>
        </w:rPr>
        <w:t>年</w:t>
      </w:r>
      <w:r>
        <w:rPr>
          <w:rFonts w:hint="eastAsia" w:ascii="仿宋" w:hAnsi="仿宋" w:eastAsia="仿宋" w:cs="仿宋"/>
          <w:sz w:val="32"/>
          <w:szCs w:val="32"/>
          <w:lang w:val="en-US" w:eastAsia="zh-CN" w:bidi="ar-SA"/>
        </w:rPr>
        <w:t>9</w:t>
      </w:r>
      <w:r>
        <w:rPr>
          <w:rFonts w:hint="eastAsia" w:ascii="仿宋" w:hAnsi="仿宋" w:eastAsia="仿宋" w:cs="仿宋"/>
          <w:sz w:val="32"/>
          <w:szCs w:val="32"/>
          <w:lang w:eastAsia="zh-CN" w:bidi="ar-SA"/>
        </w:rPr>
        <w:t>月</w:t>
      </w:r>
      <w:r>
        <w:rPr>
          <w:rFonts w:hint="eastAsia" w:ascii="仿宋" w:hAnsi="仿宋" w:eastAsia="仿宋" w:cs="仿宋"/>
          <w:sz w:val="32"/>
          <w:szCs w:val="32"/>
          <w:lang w:val="en-US" w:eastAsia="zh-CN" w:bidi="ar-SA"/>
        </w:rPr>
        <w:t>25</w:t>
      </w:r>
      <w:r>
        <w:rPr>
          <w:rFonts w:hint="eastAsia" w:ascii="仿宋" w:hAnsi="仿宋" w:eastAsia="仿宋" w:cs="仿宋"/>
          <w:sz w:val="32"/>
          <w:szCs w:val="32"/>
          <w:lang w:bidi="ar-SA"/>
        </w:rPr>
        <w:t>日</w:t>
      </w:r>
    </w:p>
    <w:p w14:paraId="0FD4545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6C507F16-1686-449C-9082-DDDFB09866CC}"/>
  </w:font>
  <w:font w:name="仿宋">
    <w:panose1 w:val="02010609060101010101"/>
    <w:charset w:val="86"/>
    <w:family w:val="auto"/>
    <w:pitch w:val="default"/>
    <w:sig w:usb0="800002BF" w:usb1="38CF7CFA" w:usb2="00000016" w:usb3="00000000" w:csb0="00040001" w:csb1="00000000"/>
    <w:embedRegular r:id="rId2" w:fontKey="{96F33D64-A8A0-440A-B4BC-0253388CA704}"/>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00000001" w:usb1="08000000" w:usb2="00000000" w:usb3="00000000" w:csb0="00040000" w:csb1="00000000"/>
    <w:embedRegular r:id="rId3" w:fontKey="{1CF9FC6C-5CC7-4DE5-8537-4981FB81B64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2F7569"/>
    <w:multiLevelType w:val="multilevel"/>
    <w:tmpl w:val="6F2F7569"/>
    <w:lvl w:ilvl="0" w:tentative="0">
      <w:start w:val="1"/>
      <w:numFmt w:val="chineseCountingThousand"/>
      <w:suff w:val="nothing"/>
      <w:lvlText w:val="%1、"/>
      <w:lvlJc w:val="left"/>
      <w:pPr>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DB64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widowControl/>
      <w:shd w:val="clear" w:color="auto" w:fill="FFFFFF"/>
      <w:jc w:val="center"/>
      <w:textAlignment w:val="baseline"/>
      <w:outlineLvl w:val="0"/>
    </w:pPr>
    <w:rPr>
      <w:rFonts w:ascii="宋体" w:hAnsi="宋体" w:eastAsia="华文中宋"/>
      <w:b/>
      <w:kern w:val="0"/>
      <w:sz w:val="44"/>
      <w:szCs w:val="44"/>
      <w:shd w:val="clear" w:color="auto" w:fill="FFFFFF"/>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2026-03-05T01:34:51Z</dcterms:created>
  <dc:creator>Administrator</dc:creator>
  <cp:lastModifiedBy>WPS_1751356430</cp:lastModifiedBy>
  <dcterms:modified xsi:type="dcterms:W3CDTF">2026-03-05T01:35:20Z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eyJoZGlkIjoiYTQ5Y2ZjOGM3YTcwMjM0ZDE4ZGI5ZTMzZWY4YzdiNzkiLCJ1c2VySWQiOiIxNzE2MzM2NzE4In0=</vt:lpwstr>
  </property>
  <property fmtid="{D5CDD505-2E9C-101B-9397-08002B2CF9AE}" pid="4" name="ICV">
    <vt:lpwstr>BF2FA5F4347F48FFBE938BF18CC0B630_12</vt:lpwstr>
  </property>
</Properties>
</file>