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35BEF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75" w:lineRule="atLeast"/>
        <w:ind w:left="0" w:right="0" w:firstLine="0"/>
        <w:jc w:val="center"/>
        <w:rPr>
          <w:rFonts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0"/>
          <w:sz w:val="36"/>
          <w:szCs w:val="36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0"/>
          <w:sz w:val="36"/>
          <w:szCs w:val="36"/>
          <w:bdr w:val="none" w:color="auto" w:sz="0" w:space="0"/>
          <w:shd w:val="clear" w:fill="FFFFFF"/>
        </w:rPr>
        <w:t>关于增值税征税具体范围有关事项的公告</w:t>
      </w:r>
    </w:p>
    <w:p w14:paraId="690110A5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22" w:afterAutospacing="0" w:line="27" w:lineRule="atLeast"/>
        <w:ind w:left="0" w:right="0"/>
        <w:jc w:val="center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财政部 税务总局公告2026年第9号</w:t>
      </w:r>
    </w:p>
    <w:p w14:paraId="76BF5BFF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22" w:afterAutospacing="0" w:line="27" w:lineRule="atLeast"/>
        <w:ind w:left="0" w:right="0"/>
        <w:jc w:val="both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根据《中华人民共和国增值税法》、《中华人民共和国增值税法实施条例》有关规定，延续现行政策和做法，现将《适用9%增值税税率货物范围注释》、《销售服务、无形资产、不动产注释》予以公布。 </w:t>
      </w:r>
    </w:p>
    <w:p w14:paraId="0EF8A2C4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22" w:afterAutospacing="0" w:line="27" w:lineRule="atLeast"/>
        <w:ind w:left="0" w:right="0"/>
        <w:jc w:val="both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本公告自2026年1月1日起施行。本公告所列的国家标准、行业标准，如在执行过程中有更新、替换，统一按新的国家标准、行业标准执行。此前规定与本公告规定不一致的，以本公告为准。 </w:t>
      </w:r>
    </w:p>
    <w:p w14:paraId="76A064DE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22" w:afterAutospacing="0" w:line="27" w:lineRule="atLeast"/>
        <w:ind w:left="0" w:right="0"/>
        <w:jc w:val="both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特此公告。 </w:t>
      </w:r>
    </w:p>
    <w:p w14:paraId="628FD19E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22" w:afterAutospacing="0" w:line="27" w:lineRule="atLeast"/>
        <w:ind w:left="0" w:right="0"/>
        <w:jc w:val="both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附件：1.适用9%增值税税率货物范围注释 </w:t>
      </w:r>
    </w:p>
    <w:p w14:paraId="3D2C1BE1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22" w:afterAutospacing="0" w:line="27" w:lineRule="atLeast"/>
        <w:ind w:left="0" w:right="0"/>
        <w:jc w:val="both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2.销售服务、无形资产、不动产注释 </w:t>
      </w:r>
    </w:p>
    <w:p w14:paraId="60121DD5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22" w:afterAutospacing="0" w:line="27" w:lineRule="atLeast"/>
        <w:ind w:left="0" w:right="0"/>
        <w:jc w:val="righ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财政部 税务总局</w:t>
      </w:r>
    </w:p>
    <w:p w14:paraId="23D22801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22" w:afterAutospacing="0" w:line="27" w:lineRule="atLeast"/>
        <w:ind w:left="0" w:right="0"/>
        <w:jc w:val="right"/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2026年1月30日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1C21A59"/>
    <w:rsid w:val="2C0775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Hyperlink"/>
    <w:basedOn w:val="5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承诺</cp:lastModifiedBy>
  <dcterms:modified xsi:type="dcterms:W3CDTF">2026-02-02T01:36:40Z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eyJoZGlkIjoiMGRhYzNjZjU0NmIxOTM1MGM3YTEyY2IwMTA4MTJiYWIiLCJ1c2VySWQiOiIzNzY2MDA1MzgifQ==</vt:lpwstr>
  </property>
  <property fmtid="{D5CDD505-2E9C-101B-9397-08002B2CF9AE}" pid="4" name="ICV">
    <vt:lpwstr>4B89D08FA6814364BBB5C64A7ACBF7D3_12</vt:lpwstr>
  </property>
</Properties>
</file>