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B739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6"/>
          <w:szCs w:val="36"/>
          <w:bdr w:val="none" w:color="auto" w:sz="0" w:space="0"/>
          <w:shd w:val="clear" w:fill="FFFFFF"/>
        </w:rPr>
        <w:t>关于发布《长期资产进项税额抵扣暂行办法》的公告</w:t>
      </w:r>
    </w:p>
    <w:p w14:paraId="6F2CE36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</w:p>
    <w:p w14:paraId="569AB4B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center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财政部 税务总局公告2026年第15号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 w14:paraId="0FDCE3D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</w:t>
      </w:r>
    </w:p>
    <w:p w14:paraId="0DEE69D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00" w:lineRule="exac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根据《中华人民共和国增值税法》和《中华人民共和国增值税法实施条例》等有关规定，财政部、税务总局制定了《长期资产进项税额抵扣暂行办法》，现予发布，自2026年1月1日起施行。 </w:t>
      </w:r>
    </w:p>
    <w:p w14:paraId="3D351A4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</w:t>
      </w:r>
    </w:p>
    <w:p w14:paraId="787F3E1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 w:firstLine="48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特此公告。 </w:t>
      </w:r>
    </w:p>
    <w:p w14:paraId="33CFE12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 w:firstLine="48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</w:p>
    <w:p w14:paraId="309D38A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附件：长期资产进项税额抵扣暂行办法 </w:t>
      </w:r>
    </w:p>
    <w:p w14:paraId="7D170B8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</w:t>
      </w:r>
    </w:p>
    <w:p w14:paraId="1D08BB3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财政部  税务总局 </w:t>
      </w:r>
    </w:p>
    <w:p w14:paraId="17D3663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27" w:lineRule="atLeast"/>
        <w:ind w:left="0" w:right="0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2026年1月30日 </w:t>
      </w:r>
    </w:p>
    <w:p w14:paraId="6288968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6B2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2026-02-05T01:40:02Z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F29628C1E31548E6B197CBBE4A4A666B_12</vt:lpwstr>
  </property>
</Properties>
</file>