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EF9D2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75" w:lineRule="atLeast"/>
        <w:ind w:left="0" w:righ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6"/>
          <w:szCs w:val="36"/>
          <w:bdr w:val="none" w:color="auto" w:sz="0" w:space="0"/>
          <w:shd w:val="clear" w:fill="FFFFFF"/>
        </w:rPr>
        <w:t>关于发布《增值税预缴税款管理办法》的公告</w:t>
      </w:r>
    </w:p>
    <w:p w14:paraId="2733BD0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</w:pPr>
    </w:p>
    <w:p w14:paraId="1899CDA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jc w:val="center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财政部 税务总局公告2026年第14号</w:t>
      </w:r>
    </w:p>
    <w:p w14:paraId="4D325D2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</w:t>
      </w:r>
    </w:p>
    <w:p w14:paraId="7DBA327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00" w:lineRule="exact"/>
        <w:ind w:left="0" w:right="0"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根据《中华人民共和国增值税法实施条例》有关规定，延续现行制度和做法，财政部、税务总局制定了《增值税预缴税款管理办法》，现予公布，自2026年1月1日起施行。此前规定与本公告规定不一致的，以本公告为准。 </w:t>
      </w:r>
    </w:p>
    <w:p w14:paraId="523D8D6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</w:t>
      </w:r>
    </w:p>
    <w:p w14:paraId="5E7BB8C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 w:firstLine="480" w:firstLineChars="20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特此公告。 </w:t>
      </w:r>
    </w:p>
    <w:p w14:paraId="346DC94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 w:firstLine="480" w:firstLineChars="20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</w:pPr>
    </w:p>
    <w:p w14:paraId="66A8AFE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附件：增值税预缴税款管理办法 </w:t>
      </w:r>
    </w:p>
    <w:p w14:paraId="286939A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jc w:val="righ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                       财政部  税务总局 </w:t>
      </w:r>
    </w:p>
    <w:p w14:paraId="69B963F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jc w:val="righ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              2026年1月30日</w:t>
      </w:r>
    </w:p>
    <w:p w14:paraId="60448FF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EF5EA9"/>
    <w:rsid w:val="3F947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2026-02-05T01:37:36Z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A9AE87B311FB488CBA0EF1EB50FE4C3B_12</vt:lpwstr>
  </property>
</Properties>
</file>