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F2294E">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b/>
          <w:bCs/>
          <w:i w:val="0"/>
          <w:iCs w:val="0"/>
          <w:caps w:val="0"/>
          <w:color w:val="333333"/>
          <w:spacing w:val="0"/>
          <w:sz w:val="30"/>
          <w:szCs w:val="30"/>
          <w:shd w:val="clear" w:fill="FFFFFF"/>
        </w:rPr>
      </w:pPr>
      <w:r>
        <w:rPr>
          <w:rFonts w:hint="eastAsia" w:ascii="微软雅黑" w:hAnsi="微软雅黑" w:eastAsia="微软雅黑" w:cs="微软雅黑"/>
          <w:b/>
          <w:bCs/>
          <w:i w:val="0"/>
          <w:iCs w:val="0"/>
          <w:caps w:val="0"/>
          <w:color w:val="333333"/>
          <w:spacing w:val="0"/>
          <w:sz w:val="30"/>
          <w:szCs w:val="30"/>
          <w:shd w:val="clear" w:fill="FFFFFF"/>
        </w:rPr>
        <w:t>关于跨境电子商务出口退运商品税收优惠政策的公告</w:t>
      </w:r>
    </w:p>
    <w:p w14:paraId="6B28001E">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i w:val="0"/>
          <w:iCs w:val="0"/>
          <w:caps w:val="0"/>
          <w:color w:val="333333"/>
          <w:spacing w:val="0"/>
          <w:sz w:val="24"/>
          <w:szCs w:val="24"/>
          <w:shd w:val="clear" w:fill="FFFFFF"/>
          <w:lang w:val="en-US" w:eastAsia="zh-CN"/>
        </w:rPr>
      </w:pPr>
      <w:r>
        <w:rPr>
          <w:rFonts w:hint="eastAsia" w:ascii="微软雅黑" w:hAnsi="微软雅黑" w:eastAsia="微软雅黑" w:cs="微软雅黑"/>
          <w:i w:val="0"/>
          <w:iCs w:val="0"/>
          <w:caps w:val="0"/>
          <w:color w:val="333333"/>
          <w:spacing w:val="0"/>
          <w:sz w:val="24"/>
          <w:szCs w:val="24"/>
          <w:shd w:val="clear" w:fill="FFFFFF"/>
          <w:lang w:val="en-US" w:eastAsia="zh-CN"/>
        </w:rPr>
        <w:t>文号：</w:t>
      </w:r>
      <w:r>
        <w:rPr>
          <w:rFonts w:ascii="微软雅黑" w:hAnsi="微软雅黑" w:eastAsia="微软雅黑" w:cs="微软雅黑"/>
          <w:i w:val="0"/>
          <w:iCs w:val="0"/>
          <w:caps w:val="0"/>
          <w:color w:val="333333"/>
          <w:spacing w:val="0"/>
          <w:sz w:val="21"/>
          <w:szCs w:val="21"/>
          <w:shd w:val="clear" w:fill="FFFFFF"/>
        </w:rPr>
        <w:t>财政部 海关总署 税务总局公告2026年第16号</w:t>
      </w:r>
      <w:bookmarkStart w:id="0" w:name="_GoBack"/>
      <w:bookmarkEnd w:id="0"/>
    </w:p>
    <w:p w14:paraId="0FEFF36C">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为支持跨境电子商务新业态发展，现将跨境电子商务出口退运商品税收优惠政策公告如下：  </w:t>
      </w:r>
    </w:p>
    <w:p w14:paraId="7C4186F7">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一、对自2026年1月1日至2027年12月31日期间在跨境电子商务海关监管代码（1210、9610、9710、9810）项下申报出口，因滞销、退货原因，自出口之日起6个月内原状退运进境的商品（不含食品），免征进口关税和进口环节增值税、消费税；出口时已征收的出口关税准予退还，出口时已征收的增值税、消费税参照内销货物发生退货有关税收规定执行。其中，监管代码1210项下出口商品，应自海关特殊监管区域或保税物流中心（B型）出区离境之日起6个月内退运至境内区外。  </w:t>
      </w:r>
    </w:p>
    <w:p w14:paraId="7A4CA08D">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二、对符合第一条规定的商品，已办理出口退税的，企业应当按现行规定补缴已退的税款。企业应当凭主管税务机关出具的《出口货物已补税/未退税证明》，申请办理免征进口关税和进口环节增值税、消费税，退还出口关税手续。  </w:t>
      </w:r>
    </w:p>
    <w:p w14:paraId="47AE4CDA">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三、第一条中规定的“原状退运进境”是指出口商品退运进境时的最小商品形态应与原出口时的形态基本一致，不得增加任何配件或部件，不能经过任何加工、改装，但经拆箱、检（化）验、安装、调试等仍可视为“原状”；退运进境商品应未被使用过，但对于只有经过试用才能发现品质不良或可证明被客户试用后退货的情况除外。  </w:t>
      </w:r>
    </w:p>
    <w:p w14:paraId="1C85AD5C">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四、对符合第一、二、三条规定的商品，企业应当提交出口商品申报清单或出口报关单、退运原因说明等证明该商品确为因滞销、退货原因而退运进境的材料，并对材料的真实性承担法律责任。对因滞销退运的商品，企业应提供“自我声明”作为退运原因说明材料，承诺为因滞销退运，并据此办理退运免税等手续。对因退货退运的商品，企业应提供退货记录（含跨境电子商务平台上的退货记录或拒收记录）、返货协议等作为退运原因说明材料，海关据此办理退运免税等手续。  </w:t>
      </w:r>
    </w:p>
    <w:p w14:paraId="36AFD87C">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五、企业偷税、骗税等违法违规行为，按照国家有关法律法规等规定处理。  </w:t>
      </w:r>
    </w:p>
    <w:p w14:paraId="03EDB269">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特此公告。  </w:t>
      </w:r>
    </w:p>
    <w:p w14:paraId="00358C9F">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财政部  海关总署  税务总局  </w:t>
      </w:r>
    </w:p>
    <w:p w14:paraId="0572E832">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2026年2月6日 </w:t>
      </w:r>
    </w:p>
    <w:p w14:paraId="12A0A01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2F0F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2026-02-24T01:36:46Z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06015CA5DD5C4B349FD88FB336402517_12</vt:lpwstr>
  </property>
</Properties>
</file>