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DD1187">
      <w:pPr>
        <w:jc w:val="center"/>
        <w:rPr>
          <w:rFonts w:hint="eastAsia" w:ascii="华文中宋" w:hAnsi="华文中宋" w:eastAsia="华文中宋" w:cs="华文中宋"/>
          <w:sz w:val="44"/>
          <w:szCs w:val="44"/>
          <w:lang w:val="en-US" w:eastAsia="zh-CN"/>
        </w:rPr>
      </w:pPr>
      <w:r>
        <w:rPr>
          <w:rFonts w:hint="eastAsia" w:ascii="华文中宋" w:hAnsi="华文中宋" w:eastAsia="华文中宋" w:cs="华文中宋"/>
          <w:sz w:val="44"/>
          <w:szCs w:val="44"/>
          <w:lang w:val="en-US" w:eastAsia="zh-CN"/>
        </w:rPr>
        <w:t>赵县自然资源和规划局2026年涉企行政检查计划</w:t>
      </w:r>
    </w:p>
    <w:tbl>
      <w:tblPr>
        <w:tblStyle w:val="5"/>
        <w:tblW w:w="15780" w:type="dxa"/>
        <w:tblInd w:w="-8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0"/>
        <w:gridCol w:w="1470"/>
        <w:gridCol w:w="8760"/>
        <w:gridCol w:w="1590"/>
        <w:gridCol w:w="900"/>
        <w:gridCol w:w="780"/>
        <w:gridCol w:w="855"/>
        <w:gridCol w:w="765"/>
      </w:tblGrid>
      <w:tr w14:paraId="5E7CF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0" w:type="dxa"/>
            <w:vAlign w:val="center"/>
          </w:tcPr>
          <w:p w14:paraId="2277D7BB">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序号</w:t>
            </w:r>
          </w:p>
        </w:tc>
        <w:tc>
          <w:tcPr>
            <w:tcW w:w="1470" w:type="dxa"/>
            <w:vAlign w:val="center"/>
          </w:tcPr>
          <w:p w14:paraId="40AC46A5">
            <w:pPr>
              <w:jc w:val="center"/>
              <w:rPr>
                <w:rFonts w:hint="eastAsia" w:ascii="宋体" w:hAnsi="宋体" w:eastAsia="宋体" w:cs="宋体"/>
                <w:b/>
                <w:bCs/>
                <w:sz w:val="44"/>
                <w:szCs w:val="44"/>
                <w:vertAlign w:val="baseline"/>
                <w:lang w:val="en-US" w:eastAsia="zh-CN"/>
              </w:rPr>
            </w:pPr>
            <w:r>
              <w:rPr>
                <w:rFonts w:hint="eastAsia" w:ascii="宋体" w:hAnsi="宋体" w:eastAsia="宋体" w:cs="宋体"/>
                <w:b/>
                <w:bCs/>
                <w:sz w:val="21"/>
                <w:szCs w:val="21"/>
                <w:vertAlign w:val="baseline"/>
                <w:lang w:val="en-US" w:eastAsia="zh-CN"/>
              </w:rPr>
              <w:t>检查主体</w:t>
            </w:r>
          </w:p>
        </w:tc>
        <w:tc>
          <w:tcPr>
            <w:tcW w:w="8760" w:type="dxa"/>
            <w:vAlign w:val="center"/>
          </w:tcPr>
          <w:p w14:paraId="376AA28A">
            <w:pPr>
              <w:jc w:val="center"/>
              <w:rPr>
                <w:rFonts w:hint="eastAsia" w:ascii="宋体" w:hAnsi="宋体" w:eastAsia="宋体" w:cs="宋体"/>
                <w:b/>
                <w:bCs/>
                <w:sz w:val="44"/>
                <w:szCs w:val="44"/>
                <w:vertAlign w:val="baseline"/>
                <w:lang w:val="en-US" w:eastAsia="zh-CN"/>
              </w:rPr>
            </w:pPr>
            <w:r>
              <w:rPr>
                <w:rFonts w:hint="eastAsia" w:ascii="宋体" w:hAnsi="宋体" w:eastAsia="宋体" w:cs="宋体"/>
                <w:b/>
                <w:bCs/>
                <w:sz w:val="21"/>
                <w:szCs w:val="21"/>
                <w:vertAlign w:val="baseline"/>
                <w:lang w:val="en-US" w:eastAsia="zh-CN"/>
              </w:rPr>
              <w:t>检查依据</w:t>
            </w:r>
          </w:p>
        </w:tc>
        <w:tc>
          <w:tcPr>
            <w:tcW w:w="1590" w:type="dxa"/>
            <w:vAlign w:val="center"/>
          </w:tcPr>
          <w:p w14:paraId="1794A017">
            <w:pPr>
              <w:jc w:val="center"/>
              <w:rPr>
                <w:rFonts w:hint="default" w:ascii="华文中宋" w:hAnsi="华文中宋" w:eastAsia="华文中宋" w:cs="华文中宋"/>
                <w:sz w:val="44"/>
                <w:szCs w:val="44"/>
                <w:vertAlign w:val="baseline"/>
                <w:lang w:val="en-US" w:eastAsia="zh-CN"/>
              </w:rPr>
            </w:pPr>
            <w:r>
              <w:rPr>
                <w:rFonts w:hint="eastAsia" w:ascii="宋体" w:hAnsi="宋体" w:eastAsia="宋体" w:cs="宋体"/>
                <w:b/>
                <w:bCs/>
                <w:sz w:val="21"/>
                <w:szCs w:val="21"/>
                <w:vertAlign w:val="baseline"/>
                <w:lang w:val="en-US" w:eastAsia="zh-CN"/>
              </w:rPr>
              <w:t>检查事项</w:t>
            </w:r>
          </w:p>
        </w:tc>
        <w:tc>
          <w:tcPr>
            <w:tcW w:w="900" w:type="dxa"/>
            <w:vAlign w:val="center"/>
          </w:tcPr>
          <w:p w14:paraId="52D8E84B">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检查</w:t>
            </w:r>
          </w:p>
          <w:p w14:paraId="1166AC2A">
            <w:pPr>
              <w:jc w:val="center"/>
              <w:rPr>
                <w:rFonts w:hint="default" w:ascii="华文中宋" w:hAnsi="华文中宋" w:eastAsia="华文中宋" w:cs="华文中宋"/>
                <w:sz w:val="44"/>
                <w:szCs w:val="44"/>
                <w:vertAlign w:val="baseline"/>
                <w:lang w:val="en-US" w:eastAsia="zh-CN"/>
              </w:rPr>
            </w:pPr>
            <w:r>
              <w:rPr>
                <w:rFonts w:hint="eastAsia" w:ascii="宋体" w:hAnsi="宋体" w:eastAsia="宋体" w:cs="宋体"/>
                <w:b/>
                <w:bCs/>
                <w:sz w:val="21"/>
                <w:szCs w:val="21"/>
                <w:vertAlign w:val="baseline"/>
                <w:lang w:val="en-US" w:eastAsia="zh-CN"/>
              </w:rPr>
              <w:t>对象</w:t>
            </w:r>
          </w:p>
        </w:tc>
        <w:tc>
          <w:tcPr>
            <w:tcW w:w="780" w:type="dxa"/>
            <w:vAlign w:val="center"/>
          </w:tcPr>
          <w:p w14:paraId="0C2022FA">
            <w:pPr>
              <w:jc w:val="center"/>
              <w:rPr>
                <w:rFonts w:hint="default" w:ascii="华文中宋" w:hAnsi="华文中宋" w:eastAsia="华文中宋" w:cs="华文中宋"/>
                <w:sz w:val="44"/>
                <w:szCs w:val="44"/>
                <w:vertAlign w:val="baseline"/>
                <w:lang w:val="en-US" w:eastAsia="zh-CN"/>
              </w:rPr>
            </w:pPr>
            <w:r>
              <w:rPr>
                <w:rFonts w:hint="eastAsia" w:ascii="宋体" w:hAnsi="宋体" w:eastAsia="宋体" w:cs="宋体"/>
                <w:b/>
                <w:bCs/>
                <w:sz w:val="21"/>
                <w:szCs w:val="21"/>
                <w:vertAlign w:val="baseline"/>
                <w:lang w:val="en-US" w:eastAsia="zh-CN"/>
              </w:rPr>
              <w:t>检查频次</w:t>
            </w:r>
          </w:p>
        </w:tc>
        <w:tc>
          <w:tcPr>
            <w:tcW w:w="855" w:type="dxa"/>
            <w:vAlign w:val="center"/>
          </w:tcPr>
          <w:p w14:paraId="416ED4DE">
            <w:pPr>
              <w:jc w:val="center"/>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检查</w:t>
            </w:r>
          </w:p>
          <w:p w14:paraId="5A7A0DE7">
            <w:pPr>
              <w:jc w:val="center"/>
              <w:rPr>
                <w:rFonts w:hint="default" w:ascii="宋体" w:hAnsi="宋体" w:eastAsia="宋体" w:cs="宋体"/>
                <w:sz w:val="21"/>
                <w:szCs w:val="21"/>
                <w:vertAlign w:val="baseline"/>
                <w:lang w:val="en-US" w:eastAsia="zh-CN"/>
              </w:rPr>
            </w:pPr>
            <w:r>
              <w:rPr>
                <w:rFonts w:hint="eastAsia" w:ascii="宋体" w:hAnsi="宋体" w:eastAsia="宋体" w:cs="宋体"/>
                <w:b/>
                <w:bCs/>
                <w:sz w:val="21"/>
                <w:szCs w:val="21"/>
                <w:vertAlign w:val="baseline"/>
                <w:lang w:val="en-US" w:eastAsia="zh-CN"/>
              </w:rPr>
              <w:t>方式</w:t>
            </w:r>
          </w:p>
        </w:tc>
        <w:tc>
          <w:tcPr>
            <w:tcW w:w="765" w:type="dxa"/>
            <w:vAlign w:val="center"/>
          </w:tcPr>
          <w:p w14:paraId="30A2B9AF">
            <w:pPr>
              <w:jc w:val="center"/>
              <w:rPr>
                <w:rFonts w:hint="default" w:ascii="华文中宋" w:hAnsi="华文中宋" w:eastAsia="华文中宋" w:cs="华文中宋"/>
                <w:sz w:val="44"/>
                <w:szCs w:val="44"/>
                <w:vertAlign w:val="baseline"/>
                <w:lang w:val="en-US" w:eastAsia="zh-CN"/>
              </w:rPr>
            </w:pPr>
            <w:r>
              <w:rPr>
                <w:rFonts w:hint="eastAsia" w:ascii="宋体" w:hAnsi="宋体" w:eastAsia="宋体" w:cs="宋体"/>
                <w:b/>
                <w:bCs/>
                <w:sz w:val="21"/>
                <w:szCs w:val="21"/>
                <w:vertAlign w:val="baseline"/>
                <w:lang w:val="en-US" w:eastAsia="zh-CN"/>
              </w:rPr>
              <w:t>是否跨部门联合检查</w:t>
            </w:r>
          </w:p>
        </w:tc>
      </w:tr>
      <w:tr w14:paraId="2BFD7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9" w:hRule="atLeast"/>
        </w:trPr>
        <w:tc>
          <w:tcPr>
            <w:tcW w:w="660" w:type="dxa"/>
            <w:vAlign w:val="center"/>
          </w:tcPr>
          <w:p w14:paraId="55FB0954">
            <w:pPr>
              <w:jc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w:t>
            </w:r>
          </w:p>
        </w:tc>
        <w:tc>
          <w:tcPr>
            <w:tcW w:w="1470" w:type="dxa"/>
            <w:vAlign w:val="center"/>
          </w:tcPr>
          <w:p w14:paraId="3DD1FEA5">
            <w:pPr>
              <w:jc w:val="both"/>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赵县县自然资源和规划局</w:t>
            </w:r>
          </w:p>
        </w:tc>
        <w:tc>
          <w:tcPr>
            <w:tcW w:w="8760" w:type="dxa"/>
            <w:vAlign w:val="center"/>
          </w:tcPr>
          <w:p w14:paraId="66DA2E38">
            <w:pPr>
              <w:jc w:val="both"/>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 xml:space="preserve">《土地复垦条例》第五条：“国务院国土资源主管部门负责全国土地复垦的监督管理工作。县级以上地方人民政府国土资源主管部门负责本行政区域土地复垦的监督管理工作。”第七条：“国务院国土资源主管部门和省、自治区、直辖市人民政府国土资源主管部门应当建立健全土地复垦信息管理系统，收集、汇总和发布土地复垦数据信息。” 第八条：“县级以上人民政府国土资源主管部门应当依据职责加强对土地复垦情况的监督检查。被检查的单位或者个人应当如实反映情况，提供必要的资料。”第十三条：“土地复垦义务人应当在办理建设用地申请或者采矿权申请手续时，随有关报批材料报送土地复垦方案。”                 </w:t>
            </w:r>
            <w:r>
              <w:rPr>
                <w:rFonts w:hint="eastAsia" w:ascii="仿宋" w:hAnsi="仿宋" w:eastAsia="仿宋" w:cs="仿宋"/>
                <w:i w:val="0"/>
                <w:iCs w:val="0"/>
                <w:color w:val="auto"/>
                <w:kern w:val="0"/>
                <w:sz w:val="24"/>
                <w:szCs w:val="24"/>
                <w:u w:val="none"/>
                <w:lang w:val="en-US" w:eastAsia="zh-CN" w:bidi="ar"/>
              </w:rPr>
              <w:br w:type="textWrapping"/>
            </w:r>
            <w:r>
              <w:rPr>
                <w:rFonts w:hint="eastAsia" w:ascii="仿宋" w:hAnsi="仿宋" w:eastAsia="仿宋" w:cs="仿宋"/>
                <w:i w:val="0"/>
                <w:iCs w:val="0"/>
                <w:color w:val="auto"/>
                <w:kern w:val="0"/>
                <w:sz w:val="24"/>
                <w:szCs w:val="24"/>
                <w:u w:val="none"/>
                <w:lang w:val="en-US" w:eastAsia="zh-CN" w:bidi="ar"/>
              </w:rPr>
              <w:t>《河北省土地复垦管理办法（试行）》（冀自然资发〔2024〕6号）第五条：“省级自然资源主管部门负责全省范围内土地复垦的政策指导、监督管理。按照管理权限负责全省矿山地质环境保护与土地复垦方案审查。”</w:t>
            </w:r>
          </w:p>
        </w:tc>
        <w:tc>
          <w:tcPr>
            <w:tcW w:w="1590" w:type="dxa"/>
            <w:vAlign w:val="center"/>
          </w:tcPr>
          <w:p w14:paraId="07C76913">
            <w:pPr>
              <w:jc w:val="both"/>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对建设项目土地复垦义务人履行土地复垦义务情况的检查</w:t>
            </w:r>
          </w:p>
        </w:tc>
        <w:tc>
          <w:tcPr>
            <w:tcW w:w="900" w:type="dxa"/>
            <w:vAlign w:val="center"/>
          </w:tcPr>
          <w:p w14:paraId="7BF1AF83">
            <w:pPr>
              <w:jc w:val="center"/>
              <w:rPr>
                <w:rFonts w:hint="default"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有关项目单位</w:t>
            </w:r>
          </w:p>
        </w:tc>
        <w:tc>
          <w:tcPr>
            <w:tcW w:w="780" w:type="dxa"/>
            <w:vAlign w:val="center"/>
          </w:tcPr>
          <w:p w14:paraId="5EAFA458">
            <w:pPr>
              <w:jc w:val="center"/>
              <w:rPr>
                <w:rFonts w:hint="default"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1</w:t>
            </w:r>
          </w:p>
        </w:tc>
        <w:tc>
          <w:tcPr>
            <w:tcW w:w="855" w:type="dxa"/>
            <w:vAlign w:val="center"/>
          </w:tcPr>
          <w:p w14:paraId="2DC570E8">
            <w:pPr>
              <w:jc w:val="center"/>
              <w:rPr>
                <w:rFonts w:hint="default"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现场检查</w:t>
            </w:r>
          </w:p>
        </w:tc>
        <w:tc>
          <w:tcPr>
            <w:tcW w:w="765" w:type="dxa"/>
            <w:vAlign w:val="center"/>
          </w:tcPr>
          <w:p w14:paraId="75240579">
            <w:pPr>
              <w:jc w:val="center"/>
              <w:rPr>
                <w:rFonts w:hint="default"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否</w:t>
            </w:r>
          </w:p>
        </w:tc>
      </w:tr>
      <w:tr w14:paraId="429D3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3" w:hRule="atLeast"/>
        </w:trPr>
        <w:tc>
          <w:tcPr>
            <w:tcW w:w="660" w:type="dxa"/>
            <w:vAlign w:val="center"/>
          </w:tcPr>
          <w:p w14:paraId="7A439582">
            <w:pPr>
              <w:jc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2</w:t>
            </w:r>
          </w:p>
        </w:tc>
        <w:tc>
          <w:tcPr>
            <w:tcW w:w="1470" w:type="dxa"/>
            <w:vAlign w:val="center"/>
          </w:tcPr>
          <w:p w14:paraId="1D0FC836">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赵县自然资源和规划局</w:t>
            </w:r>
          </w:p>
        </w:tc>
        <w:tc>
          <w:tcPr>
            <w:tcW w:w="8760" w:type="dxa"/>
            <w:vAlign w:val="center"/>
          </w:tcPr>
          <w:p w14:paraId="3DEFEA97">
            <w:pPr>
              <w:jc w:val="both"/>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《中华人民共和国测绘法》第四十九条：“县级以上人民政府测绘地理信息主管部门应当建立健全随机抽查机制，依法履行监督检查职责。”</w:t>
            </w:r>
          </w:p>
        </w:tc>
        <w:tc>
          <w:tcPr>
            <w:tcW w:w="1590" w:type="dxa"/>
            <w:vAlign w:val="center"/>
          </w:tcPr>
          <w:p w14:paraId="7F8B2745">
            <w:pPr>
              <w:jc w:val="both"/>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对测绘行业的行政检查</w:t>
            </w:r>
          </w:p>
        </w:tc>
        <w:tc>
          <w:tcPr>
            <w:tcW w:w="900" w:type="dxa"/>
          </w:tcPr>
          <w:p w14:paraId="00D219DE">
            <w:pPr>
              <w:jc w:val="center"/>
              <w:rPr>
                <w:rFonts w:hint="default"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测绘地理信息单位</w:t>
            </w:r>
          </w:p>
        </w:tc>
        <w:tc>
          <w:tcPr>
            <w:tcW w:w="780" w:type="dxa"/>
            <w:vAlign w:val="center"/>
          </w:tcPr>
          <w:p w14:paraId="6AB2F358">
            <w:pPr>
              <w:jc w:val="center"/>
              <w:rPr>
                <w:rFonts w:hint="default"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1</w:t>
            </w:r>
          </w:p>
        </w:tc>
        <w:tc>
          <w:tcPr>
            <w:tcW w:w="855" w:type="dxa"/>
            <w:vAlign w:val="center"/>
          </w:tcPr>
          <w:p w14:paraId="200B94A5">
            <w:pPr>
              <w:jc w:val="center"/>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“双随机、一公开</w:t>
            </w:r>
            <w:bookmarkStart w:id="1" w:name="_GoBack"/>
            <w:bookmarkEnd w:id="1"/>
            <w:r>
              <w:rPr>
                <w:rFonts w:hint="eastAsia" w:ascii="仿宋" w:hAnsi="仿宋" w:eastAsia="仿宋" w:cs="仿宋"/>
                <w:i w:val="0"/>
                <w:iCs w:val="0"/>
                <w:color w:val="auto"/>
                <w:kern w:val="0"/>
                <w:sz w:val="24"/>
                <w:szCs w:val="24"/>
                <w:u w:val="none"/>
                <w:lang w:val="en-US" w:eastAsia="zh-CN" w:bidi="ar"/>
              </w:rPr>
              <w:t>”</w:t>
            </w:r>
          </w:p>
        </w:tc>
        <w:tc>
          <w:tcPr>
            <w:tcW w:w="765" w:type="dxa"/>
            <w:vAlign w:val="center"/>
          </w:tcPr>
          <w:p w14:paraId="608D1308">
            <w:pPr>
              <w:jc w:val="center"/>
              <w:rPr>
                <w:rFonts w:hint="default"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是</w:t>
            </w:r>
          </w:p>
        </w:tc>
      </w:tr>
      <w:tr w14:paraId="2A8CB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7" w:hRule="atLeast"/>
        </w:trPr>
        <w:tc>
          <w:tcPr>
            <w:tcW w:w="660" w:type="dxa"/>
            <w:vAlign w:val="center"/>
          </w:tcPr>
          <w:p w14:paraId="0F0249B6">
            <w:pPr>
              <w:jc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3</w:t>
            </w:r>
          </w:p>
        </w:tc>
        <w:tc>
          <w:tcPr>
            <w:tcW w:w="1470" w:type="dxa"/>
            <w:vAlign w:val="center"/>
          </w:tcPr>
          <w:p w14:paraId="20439336">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赵县自然资源和规划局</w:t>
            </w:r>
          </w:p>
        </w:tc>
        <w:tc>
          <w:tcPr>
            <w:tcW w:w="8760" w:type="dxa"/>
            <w:vAlign w:val="center"/>
          </w:tcPr>
          <w:p w14:paraId="2D09D704">
            <w:pPr>
              <w:jc w:val="both"/>
              <w:rPr>
                <w:rFonts w:hint="eastAsia" w:ascii="仿宋" w:hAnsi="仿宋" w:eastAsia="仿宋" w:cs="仿宋"/>
                <w:b w:val="0"/>
                <w:bCs w:val="0"/>
                <w:i w:val="0"/>
                <w:iCs w:val="0"/>
                <w:color w:val="auto"/>
                <w:kern w:val="0"/>
                <w:sz w:val="24"/>
                <w:szCs w:val="24"/>
                <w:u w:val="none"/>
                <w:lang w:val="en-US" w:eastAsia="zh-CN" w:bidi="ar"/>
              </w:rPr>
            </w:pPr>
            <w:bookmarkStart w:id="0" w:name="Title"/>
            <w:r>
              <w:rPr>
                <w:rFonts w:hint="eastAsia" w:ascii="仿宋" w:hAnsi="仿宋" w:eastAsia="仿宋" w:cs="仿宋"/>
                <w:bCs/>
                <w:sz w:val="24"/>
                <w:szCs w:val="24"/>
                <w:lang w:eastAsia="zh-CN"/>
              </w:rPr>
              <w:t>《</w:t>
            </w:r>
            <w:r>
              <w:rPr>
                <w:rFonts w:hint="eastAsia" w:ascii="仿宋" w:hAnsi="仿宋" w:eastAsia="仿宋" w:cs="仿宋"/>
                <w:bCs/>
                <w:sz w:val="24"/>
                <w:szCs w:val="24"/>
              </w:rPr>
              <w:t>中华人民共和国城乡规划法</w:t>
            </w:r>
            <w:bookmarkEnd w:id="0"/>
            <w:r>
              <w:rPr>
                <w:rFonts w:hint="eastAsia" w:ascii="仿宋" w:hAnsi="仿宋" w:eastAsia="仿宋" w:cs="仿宋"/>
                <w:bCs/>
                <w:sz w:val="24"/>
                <w:szCs w:val="24"/>
                <w:lang w:eastAsia="zh-CN"/>
              </w:rPr>
              <w:t>》</w:t>
            </w:r>
            <w:r>
              <w:rPr>
                <w:rFonts w:hint="eastAsia" w:ascii="仿宋" w:hAnsi="仿宋" w:eastAsia="仿宋" w:cs="仿宋"/>
                <w:i w:val="0"/>
                <w:iCs w:val="0"/>
                <w:color w:val="auto"/>
                <w:kern w:val="0"/>
                <w:sz w:val="24"/>
                <w:szCs w:val="24"/>
                <w:u w:val="none"/>
                <w:lang w:val="en-US" w:eastAsia="zh-CN" w:bidi="ar"/>
              </w:rPr>
              <w:t>第五十一条　县级以上人民政府及其城乡规划主管部门应当加强对城乡规划编制、审</w:t>
            </w:r>
            <w:r>
              <w:rPr>
                <w:rFonts w:hint="eastAsia" w:ascii="仿宋" w:hAnsi="仿宋" w:eastAsia="仿宋" w:cs="仿宋"/>
                <w:b w:val="0"/>
                <w:bCs w:val="0"/>
                <w:i w:val="0"/>
                <w:iCs w:val="0"/>
                <w:color w:val="auto"/>
                <w:kern w:val="0"/>
                <w:sz w:val="24"/>
                <w:szCs w:val="24"/>
                <w:u w:val="none"/>
                <w:lang w:val="en-US" w:eastAsia="zh-CN" w:bidi="ar"/>
              </w:rPr>
              <w:t>批、实施、修改的监督检查。</w:t>
            </w:r>
          </w:p>
          <w:p w14:paraId="5422C362">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b w:val="0"/>
                <w:bCs w:val="0"/>
                <w:i w:val="0"/>
                <w:iCs w:val="0"/>
                <w:color w:val="auto"/>
                <w:kern w:val="0"/>
                <w:sz w:val="24"/>
                <w:szCs w:val="24"/>
                <w:u w:val="none"/>
                <w:lang w:val="en-US" w:eastAsia="zh-CN" w:bidi="ar"/>
              </w:rPr>
              <w:t>《河北省城乡规划条例》第七十二条　城市、县人民政府城乡规划主管部门、省人民政府授权的镇人民政府应当对批准后的建设工程的基槽开挖、基</w:t>
            </w:r>
            <w:r>
              <w:rPr>
                <w:rFonts w:hint="eastAsia" w:ascii="仿宋" w:hAnsi="仿宋" w:eastAsia="仿宋" w:cs="仿宋"/>
                <w:i w:val="0"/>
                <w:iCs w:val="0"/>
                <w:color w:val="auto"/>
                <w:kern w:val="0"/>
                <w:sz w:val="24"/>
                <w:szCs w:val="24"/>
                <w:u w:val="none"/>
                <w:lang w:val="en-US" w:eastAsia="zh-CN" w:bidi="ar"/>
              </w:rPr>
              <w:t>础施工、地面首层和顶层封顶、建设工程外装修、室外工程和景观环境设施等建设过程进行监管。经检查不合格的，责令改正；改正后符合要求的，方可进行下一阶段施工。</w:t>
            </w:r>
          </w:p>
          <w:p w14:paraId="0EBBF2F6">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《石家庄市城乡规划条例》第五十三条 城乡规划主管部门应当对批准后的建设工程进行监管。建设单位在开工前应委托具有相应资质的测绘单位对建设工程进行定线和槽底定位，并在建筑工程的基槽开挖、基础施工、地面首层、顶层封顶、外立面装修、室外工程及景观环境设施建设环节，以及市政工程的基槽开挖、地下工程覆土前和覆土后接受规划核验。经核验不合格的，责令建设单位立即停止施工并改正。</w:t>
            </w:r>
          </w:p>
          <w:p w14:paraId="088657F0">
            <w:pPr>
              <w:jc w:val="both"/>
              <w:rPr>
                <w:rFonts w:hint="eastAsia"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《河北省城市地下管网条例》第十四条　城市地下管线工程开工前，建设单位应当委托具有相应资质的测绘单位进行放线，并接受所在地人民政府城乡规划主管部门的监督检查。第十五条　城市地下管线工程覆土前，建设单位应当委托具有相应资质的测绘单位进行竣工测量，形成准确的竣工测量数据文件和工程测量图等资料，并向所在地人民政府城乡规划主管部门申请规划核实。</w:t>
            </w:r>
          </w:p>
        </w:tc>
        <w:tc>
          <w:tcPr>
            <w:tcW w:w="1590" w:type="dxa"/>
            <w:vAlign w:val="center"/>
          </w:tcPr>
          <w:p w14:paraId="642A0D99">
            <w:pPr>
              <w:jc w:val="both"/>
              <w:rPr>
                <w:rFonts w:hint="eastAsia" w:ascii="华文中宋" w:hAnsi="华文中宋" w:eastAsia="华文中宋" w:cs="华文中宋"/>
                <w:sz w:val="44"/>
                <w:szCs w:val="44"/>
                <w:vertAlign w:val="baseline"/>
                <w:lang w:val="en-US" w:eastAsia="zh-CN"/>
              </w:rPr>
            </w:pPr>
            <w:r>
              <w:rPr>
                <w:rFonts w:hint="eastAsia" w:eastAsia="仿宋" w:cs="仿宋"/>
                <w:b w:val="0"/>
                <w:bCs w:val="0"/>
                <w:i w:val="0"/>
                <w:iCs w:val="0"/>
                <w:color w:val="000000"/>
                <w:kern w:val="0"/>
                <w:sz w:val="22"/>
                <w:szCs w:val="22"/>
                <w:u w:val="none"/>
                <w:lang w:val="en-US" w:eastAsia="zh-CN" w:bidi="ar"/>
              </w:rPr>
              <w:t>建设工程批后监督检查</w:t>
            </w:r>
          </w:p>
        </w:tc>
        <w:tc>
          <w:tcPr>
            <w:tcW w:w="900" w:type="dxa"/>
            <w:vAlign w:val="center"/>
          </w:tcPr>
          <w:p w14:paraId="18A167AC">
            <w:pPr>
              <w:jc w:val="center"/>
              <w:rPr>
                <w:rFonts w:hint="default" w:ascii="华文中宋" w:hAnsi="华文中宋" w:eastAsia="华文中宋" w:cs="华文中宋"/>
                <w:sz w:val="44"/>
                <w:szCs w:val="44"/>
                <w:vertAlign w:val="baseline"/>
                <w:lang w:val="en-US" w:eastAsia="zh-CN"/>
              </w:rPr>
            </w:pPr>
            <w:r>
              <w:rPr>
                <w:rFonts w:hint="eastAsia" w:ascii="仿宋" w:hAnsi="仿宋" w:eastAsia="仿宋" w:cs="仿宋"/>
                <w:i w:val="0"/>
                <w:iCs w:val="0"/>
                <w:color w:val="auto"/>
                <w:kern w:val="0"/>
                <w:sz w:val="24"/>
                <w:szCs w:val="24"/>
                <w:u w:val="none"/>
                <w:lang w:val="en-US" w:eastAsia="zh-CN" w:bidi="ar"/>
              </w:rPr>
              <w:t>建设单位</w:t>
            </w:r>
          </w:p>
        </w:tc>
        <w:tc>
          <w:tcPr>
            <w:tcW w:w="780" w:type="dxa"/>
            <w:vAlign w:val="center"/>
          </w:tcPr>
          <w:p w14:paraId="4C4BE6FD">
            <w:pPr>
              <w:jc w:val="both"/>
              <w:rPr>
                <w:rFonts w:hint="eastAsia" w:ascii="华文中宋" w:hAnsi="华文中宋" w:eastAsia="华文中宋" w:cs="华文中宋"/>
                <w:sz w:val="44"/>
                <w:szCs w:val="44"/>
                <w:vertAlign w:val="baseline"/>
                <w:lang w:val="en-US" w:eastAsia="zh-CN"/>
              </w:rPr>
            </w:pPr>
            <w:r>
              <w:rPr>
                <w:rFonts w:hint="eastAsia" w:eastAsia="仿宋" w:cs="仿宋"/>
                <w:b w:val="0"/>
                <w:bCs w:val="0"/>
                <w:i w:val="0"/>
                <w:iCs w:val="0"/>
                <w:color w:val="000000"/>
                <w:sz w:val="22"/>
                <w:szCs w:val="22"/>
                <w:u w:val="none"/>
                <w:lang w:val="en-US" w:eastAsia="zh-CN"/>
              </w:rPr>
              <w:t>随工程进度确定</w:t>
            </w:r>
          </w:p>
        </w:tc>
        <w:tc>
          <w:tcPr>
            <w:tcW w:w="855" w:type="dxa"/>
            <w:vAlign w:val="center"/>
          </w:tcPr>
          <w:p w14:paraId="4F6FD510">
            <w:pPr>
              <w:jc w:val="center"/>
              <w:rPr>
                <w:rFonts w:hint="eastAsia" w:ascii="华文中宋" w:hAnsi="华文中宋" w:eastAsia="华文中宋" w:cs="华文中宋"/>
                <w:sz w:val="44"/>
                <w:szCs w:val="44"/>
                <w:vertAlign w:val="baseline"/>
                <w:lang w:val="en-US" w:eastAsia="zh-CN"/>
              </w:rPr>
            </w:pPr>
            <w:r>
              <w:rPr>
                <w:rFonts w:hint="eastAsia" w:eastAsia="仿宋" w:cs="仿宋"/>
                <w:b w:val="0"/>
                <w:bCs w:val="0"/>
                <w:i w:val="0"/>
                <w:iCs w:val="0"/>
                <w:color w:val="000000"/>
                <w:sz w:val="22"/>
                <w:szCs w:val="22"/>
                <w:u w:val="none"/>
                <w:lang w:eastAsia="zh-CN"/>
              </w:rPr>
              <w:t>现场检查</w:t>
            </w:r>
          </w:p>
        </w:tc>
        <w:tc>
          <w:tcPr>
            <w:tcW w:w="765" w:type="dxa"/>
            <w:vAlign w:val="center"/>
          </w:tcPr>
          <w:p w14:paraId="4648D076">
            <w:pPr>
              <w:jc w:val="center"/>
              <w:rPr>
                <w:rFonts w:hint="default" w:ascii="华文中宋" w:hAnsi="华文中宋" w:eastAsia="华文中宋" w:cs="华文中宋"/>
                <w:sz w:val="44"/>
                <w:szCs w:val="44"/>
                <w:vertAlign w:val="baseline"/>
                <w:lang w:val="en-US" w:eastAsia="zh-CN"/>
              </w:rPr>
            </w:pPr>
            <w:r>
              <w:rPr>
                <w:rFonts w:hint="eastAsia" w:eastAsia="仿宋" w:cs="仿宋"/>
                <w:b w:val="0"/>
                <w:bCs w:val="0"/>
                <w:i w:val="0"/>
                <w:iCs w:val="0"/>
                <w:color w:val="000000"/>
                <w:sz w:val="22"/>
                <w:szCs w:val="22"/>
                <w:u w:val="none"/>
                <w:lang w:val="en-US" w:eastAsia="zh-CN"/>
              </w:rPr>
              <w:t>否</w:t>
            </w:r>
          </w:p>
        </w:tc>
      </w:tr>
      <w:tr w14:paraId="2084D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76" w:hRule="atLeast"/>
        </w:trPr>
        <w:tc>
          <w:tcPr>
            <w:tcW w:w="660" w:type="dxa"/>
            <w:vAlign w:val="center"/>
          </w:tcPr>
          <w:p w14:paraId="479B530D">
            <w:pPr>
              <w:jc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4</w:t>
            </w:r>
          </w:p>
        </w:tc>
        <w:tc>
          <w:tcPr>
            <w:tcW w:w="1470" w:type="dxa"/>
            <w:vAlign w:val="center"/>
          </w:tcPr>
          <w:p w14:paraId="3B5ED1FF">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赵县自然资源和规划局</w:t>
            </w:r>
          </w:p>
        </w:tc>
        <w:tc>
          <w:tcPr>
            <w:tcW w:w="8760" w:type="dxa"/>
            <w:vAlign w:val="center"/>
          </w:tcPr>
          <w:p w14:paraId="3C5203C5">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《中华人民共和国森林法》第六十六条：县级以上人民政府林业主管部门依照本法规定，对森林资源的保护、修复、利用、更新等进行监督检查，依法查处破坏森林资源等违法行为。</w:t>
            </w:r>
          </w:p>
        </w:tc>
        <w:tc>
          <w:tcPr>
            <w:tcW w:w="1590" w:type="dxa"/>
            <w:vAlign w:val="center"/>
          </w:tcPr>
          <w:p w14:paraId="00E7DCAB">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对森林资源的保护、修复、利用、更新等的监督检查</w:t>
            </w:r>
          </w:p>
        </w:tc>
        <w:tc>
          <w:tcPr>
            <w:tcW w:w="900" w:type="dxa"/>
            <w:vAlign w:val="center"/>
          </w:tcPr>
          <w:p w14:paraId="10615098">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临时占用林地和林木采伐被许可单位</w:t>
            </w:r>
          </w:p>
        </w:tc>
        <w:tc>
          <w:tcPr>
            <w:tcW w:w="780" w:type="dxa"/>
            <w:vAlign w:val="center"/>
          </w:tcPr>
          <w:p w14:paraId="38540A96">
            <w:pPr>
              <w:jc w:val="center"/>
              <w:rPr>
                <w:rFonts w:hint="default"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1</w:t>
            </w:r>
          </w:p>
        </w:tc>
        <w:tc>
          <w:tcPr>
            <w:tcW w:w="855" w:type="dxa"/>
            <w:vAlign w:val="center"/>
          </w:tcPr>
          <w:p w14:paraId="32133D4A">
            <w:pPr>
              <w:jc w:val="both"/>
              <w:rPr>
                <w:rFonts w:hint="eastAsia" w:ascii="仿宋" w:hAnsi="仿宋" w:eastAsia="仿宋" w:cs="仿宋"/>
                <w:i w:val="0"/>
                <w:iCs w:val="0"/>
                <w:color w:val="auto"/>
                <w:kern w:val="0"/>
                <w:sz w:val="24"/>
                <w:szCs w:val="24"/>
                <w:u w:val="none"/>
                <w:lang w:val="en-US" w:eastAsia="zh-CN" w:bidi="ar"/>
              </w:rPr>
            </w:pPr>
            <w:r>
              <w:rPr>
                <w:rFonts w:hint="default" w:ascii="仿宋" w:hAnsi="仿宋" w:eastAsia="仿宋" w:cs="仿宋"/>
                <w:i w:val="0"/>
                <w:iCs w:val="0"/>
                <w:color w:val="auto"/>
                <w:kern w:val="0"/>
                <w:sz w:val="24"/>
                <w:szCs w:val="24"/>
                <w:u w:val="none"/>
                <w:lang w:val="en-US" w:eastAsia="zh-CN" w:bidi="ar"/>
              </w:rPr>
              <w:t>现场检查</w:t>
            </w:r>
            <w:r>
              <w:rPr>
                <w:rFonts w:hint="eastAsia" w:ascii="仿宋" w:hAnsi="仿宋" w:eastAsia="仿宋" w:cs="仿宋"/>
                <w:i w:val="0"/>
                <w:iCs w:val="0"/>
                <w:color w:val="auto"/>
                <w:kern w:val="0"/>
                <w:sz w:val="24"/>
                <w:szCs w:val="24"/>
                <w:u w:val="none"/>
                <w:lang w:val="en-US" w:eastAsia="zh-CN" w:bidi="ar"/>
              </w:rPr>
              <w:t>、</w:t>
            </w:r>
            <w:r>
              <w:rPr>
                <w:rFonts w:hint="default" w:ascii="仿宋" w:hAnsi="仿宋" w:eastAsia="仿宋" w:cs="仿宋"/>
                <w:i w:val="0"/>
                <w:iCs w:val="0"/>
                <w:color w:val="auto"/>
                <w:kern w:val="0"/>
                <w:sz w:val="24"/>
                <w:szCs w:val="24"/>
                <w:u w:val="none"/>
                <w:lang w:val="en-US" w:eastAsia="zh-CN" w:bidi="ar"/>
              </w:rPr>
              <w:t xml:space="preserve">  书面核查</w:t>
            </w:r>
          </w:p>
        </w:tc>
        <w:tc>
          <w:tcPr>
            <w:tcW w:w="765" w:type="dxa"/>
            <w:vAlign w:val="center"/>
          </w:tcPr>
          <w:p w14:paraId="2CBDD8EB">
            <w:pPr>
              <w:jc w:val="both"/>
              <w:rPr>
                <w:rFonts w:hint="eastAsia" w:ascii="仿宋" w:hAnsi="仿宋" w:eastAsia="仿宋" w:cs="仿宋"/>
                <w:i w:val="0"/>
                <w:iCs w:val="0"/>
                <w:color w:val="auto"/>
                <w:kern w:val="0"/>
                <w:sz w:val="24"/>
                <w:szCs w:val="24"/>
                <w:u w:val="none"/>
                <w:lang w:val="en-US" w:eastAsia="zh-CN" w:bidi="ar"/>
              </w:rPr>
            </w:pPr>
            <w:r>
              <w:rPr>
                <w:rFonts w:hint="eastAsia" w:ascii="仿宋" w:hAnsi="仿宋" w:eastAsia="仿宋" w:cs="仿宋"/>
                <w:i w:val="0"/>
                <w:iCs w:val="0"/>
                <w:color w:val="auto"/>
                <w:kern w:val="0"/>
                <w:sz w:val="24"/>
                <w:szCs w:val="24"/>
                <w:u w:val="none"/>
                <w:lang w:val="en-US" w:eastAsia="zh-CN" w:bidi="ar"/>
              </w:rPr>
              <w:t>否</w:t>
            </w:r>
          </w:p>
        </w:tc>
      </w:tr>
    </w:tbl>
    <w:p w14:paraId="6FB2B5CB">
      <w:pPr>
        <w:jc w:val="both"/>
        <w:rPr>
          <w:rFonts w:hint="default" w:ascii="华文中宋" w:hAnsi="华文中宋" w:eastAsia="华文中宋" w:cs="华文中宋"/>
          <w:sz w:val="44"/>
          <w:szCs w:val="44"/>
          <w:lang w:val="en-US" w:eastAsia="zh-CN"/>
        </w:rPr>
      </w:pPr>
    </w:p>
    <w:sectPr>
      <w:headerReference r:id="rId3" w:type="default"/>
      <w:footerReference r:id="rId4"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CFB077">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4053E6">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64053E6">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8E63CD">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1A0122"/>
    <w:rsid w:val="019E720A"/>
    <w:rsid w:val="01B73573"/>
    <w:rsid w:val="01C51463"/>
    <w:rsid w:val="02BF7C24"/>
    <w:rsid w:val="0307028E"/>
    <w:rsid w:val="04907714"/>
    <w:rsid w:val="082F55AA"/>
    <w:rsid w:val="095363BD"/>
    <w:rsid w:val="0BB2135F"/>
    <w:rsid w:val="0CE26298"/>
    <w:rsid w:val="0D2E5BFA"/>
    <w:rsid w:val="0F352CB2"/>
    <w:rsid w:val="0F9A025D"/>
    <w:rsid w:val="14D0721E"/>
    <w:rsid w:val="183D5D18"/>
    <w:rsid w:val="1A235C3A"/>
    <w:rsid w:val="1BE200DE"/>
    <w:rsid w:val="1C5F1D6A"/>
    <w:rsid w:val="1CE3483C"/>
    <w:rsid w:val="1E914418"/>
    <w:rsid w:val="1F711C32"/>
    <w:rsid w:val="234649AF"/>
    <w:rsid w:val="25315EE0"/>
    <w:rsid w:val="257D7A89"/>
    <w:rsid w:val="28601AC3"/>
    <w:rsid w:val="28911F50"/>
    <w:rsid w:val="2EBF7A34"/>
    <w:rsid w:val="2F443D08"/>
    <w:rsid w:val="30E247D1"/>
    <w:rsid w:val="32036145"/>
    <w:rsid w:val="334C2FCB"/>
    <w:rsid w:val="34B31DBA"/>
    <w:rsid w:val="3A710FFA"/>
    <w:rsid w:val="3AD97538"/>
    <w:rsid w:val="3D3E1E48"/>
    <w:rsid w:val="3D7E612F"/>
    <w:rsid w:val="3EBA6D05"/>
    <w:rsid w:val="3EE56AD0"/>
    <w:rsid w:val="3EFE796B"/>
    <w:rsid w:val="3F961115"/>
    <w:rsid w:val="3FC87F4A"/>
    <w:rsid w:val="41917096"/>
    <w:rsid w:val="431F7D98"/>
    <w:rsid w:val="4A3C487B"/>
    <w:rsid w:val="4A4B12CE"/>
    <w:rsid w:val="4B565D0D"/>
    <w:rsid w:val="4D3F1A29"/>
    <w:rsid w:val="4D6B489F"/>
    <w:rsid w:val="4F244DE4"/>
    <w:rsid w:val="501035AC"/>
    <w:rsid w:val="52C57F11"/>
    <w:rsid w:val="53512366"/>
    <w:rsid w:val="539A664D"/>
    <w:rsid w:val="55781A13"/>
    <w:rsid w:val="5733343E"/>
    <w:rsid w:val="5997691A"/>
    <w:rsid w:val="5A2B5106"/>
    <w:rsid w:val="5AD4458D"/>
    <w:rsid w:val="5E8B4177"/>
    <w:rsid w:val="60CD3632"/>
    <w:rsid w:val="622309E0"/>
    <w:rsid w:val="65F7173E"/>
    <w:rsid w:val="65FB1335"/>
    <w:rsid w:val="66933AA9"/>
    <w:rsid w:val="6770392D"/>
    <w:rsid w:val="67BD492C"/>
    <w:rsid w:val="69986290"/>
    <w:rsid w:val="69B55113"/>
    <w:rsid w:val="69E53BCA"/>
    <w:rsid w:val="6C383ED9"/>
    <w:rsid w:val="72F67B37"/>
    <w:rsid w:val="737E3C50"/>
    <w:rsid w:val="74BE1A9B"/>
    <w:rsid w:val="760E6CDF"/>
    <w:rsid w:val="763D40B8"/>
    <w:rsid w:val="79346A40"/>
    <w:rsid w:val="7A00221D"/>
    <w:rsid w:val="7A7C1376"/>
    <w:rsid w:val="7AEA2B9F"/>
    <w:rsid w:val="7B5B0EFF"/>
    <w:rsid w:val="7C1A01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01"/>
    <w:basedOn w:val="6"/>
    <w:qFormat/>
    <w:uiPriority w:val="0"/>
    <w:rPr>
      <w:rFonts w:ascii="仿宋_GB2312" w:eastAsia="仿宋_GB2312" w:cs="仿宋_GB2312"/>
      <w:color w:val="000000"/>
      <w:sz w:val="24"/>
      <w:szCs w:val="24"/>
      <w:u w:val="none"/>
    </w:rPr>
  </w:style>
  <w:style w:type="character" w:customStyle="1" w:styleId="8">
    <w:name w:val="font11"/>
    <w:basedOn w:val="6"/>
    <w:qFormat/>
    <w:uiPriority w:val="0"/>
    <w:rPr>
      <w:rFonts w:hint="default" w:ascii="Times New Roman" w:hAnsi="Times New Roman" w:cs="Times New Roman"/>
      <w:color w:val="000000"/>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1299</Words>
  <Characters>1305</Characters>
  <Lines>0</Lines>
  <Paragraphs>0</Paragraphs>
  <TotalTime>1</TotalTime>
  <ScaleCrop>false</ScaleCrop>
  <LinksUpToDate>false</LinksUpToDate>
  <CharactersWithSpaces>1330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2026-01-19T02:48:00Z</dcterms:created>
  <dc:creator>niu</dc:creator>
  <cp:lastModifiedBy>13323011735</cp:lastModifiedBy>
  <dcterms:modified xsi:type="dcterms:W3CDTF">2026-03-10T09:13:59Z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99604A57B0134FBFA0AD830C998CCD02</vt:lpwstr>
  </property>
  <property fmtid="{D5CDD505-2E9C-101B-9397-08002B2CF9AE}" pid="4" name="KSOTemplateDocerSaveRecord">
    <vt:lpwstr>eyJoZGlkIjoiY2Q1YmEwODljMjhlMDViZDY2ZTI0MGM5YzhhNmYyYzUiLCJ1c2VySWQiOiIxNTUwMjQwMDk2In0=</vt:lpwstr>
  </property>
</Properties>
</file>