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ascii="宋体" w:eastAsia="宋体" w:cs="宋体" w:hAnsi="宋体" w:hint="eastAsia"/>
          <w:b/>
          <w:bCs/>
          <w:sz w:val="44"/>
          <w:szCs w:val="44"/>
          <w:lang w:val="en-US" w:eastAsia="zh-CN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ascii="宋体" w:eastAsia="宋体" w:cs="宋体" w:hAnsi="宋体" w:hint="eastAsia"/>
          <w:b/>
          <w:bCs/>
          <w:sz w:val="44"/>
          <w:szCs w:val="44"/>
          <w:lang w:val="en-US" w:eastAsia="zh-CN"/>
        </w:rPr>
      </w:pPr>
      <w:r>
        <w:rPr>
          <w:rFonts w:ascii="宋体" w:eastAsia="宋体" w:cs="宋体" w:hAnsi="宋体" w:hint="eastAsia"/>
          <w:b/>
          <w:bCs/>
          <w:sz w:val="44"/>
          <w:szCs w:val="44"/>
          <w:lang w:val="en-US" w:eastAsia="zh-CN"/>
        </w:rPr>
        <w:t>赵县202</w:t>
      </w:r>
      <w:r>
        <w:rPr>
          <w:rFonts w:ascii="宋体" w:eastAsia="宋体" w:cs="宋体" w:hAnsi="宋体"/>
          <w:b/>
          <w:bCs/>
          <w:sz w:val="44"/>
          <w:szCs w:val="44"/>
          <w:lang w:val="en-US" w:eastAsia="zh-CN"/>
        </w:rPr>
        <w:t>5</w:t>
      </w:r>
      <w:r>
        <w:rPr>
          <w:rFonts w:ascii="宋体" w:eastAsia="宋体" w:cs="宋体" w:hAnsi="宋体" w:hint="eastAsia"/>
          <w:b/>
          <w:bCs/>
          <w:sz w:val="44"/>
          <w:szCs w:val="44"/>
          <w:lang w:val="en-US" w:eastAsia="zh-CN"/>
        </w:rPr>
        <w:t>年第一批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ascii="宋体" w:eastAsia="宋体" w:cs="宋体" w:hAnsi="宋体"/>
          <w:b/>
          <w:bCs/>
          <w:sz w:val="44"/>
          <w:szCs w:val="44"/>
          <w:lang w:val="en-US" w:eastAsia="zh-CN"/>
        </w:rPr>
      </w:pPr>
      <w:r>
        <w:rPr>
          <w:rFonts w:ascii="宋体" w:eastAsia="宋体" w:cs="宋体" w:hAnsi="宋体" w:hint="eastAsia"/>
          <w:b/>
          <w:bCs/>
          <w:sz w:val="44"/>
          <w:szCs w:val="44"/>
          <w:lang w:val="en-US" w:eastAsia="zh-CN"/>
        </w:rPr>
        <w:t>农村公益事业财政奖补项目执行结果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sz w:val="32"/>
          <w:szCs w:val="32"/>
          <w:lang w:val="en-US" w:eastAsia="zh-CN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黑体" w:eastAsia="黑体" w:cs="黑体" w:hAnsi="黑体" w:hint="eastAsia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一</w:t>
      </w:r>
      <w:r>
        <w:rPr>
          <w:rFonts w:ascii="黑体" w:eastAsia="黑体" w:cs="黑体" w:hAnsi="黑体" w:hint="eastAsia"/>
          <w:sz w:val="32"/>
          <w:szCs w:val="32"/>
          <w:lang w:val="en-US" w:eastAsia="zh-CN"/>
          <w:highlight w:val="none"/>
        </w:rPr>
        <w:t>、</w:t>
      </w: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项目名称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仿宋" w:eastAsia="仿宋" w:cs="仿宋" w:hAnsi="仿宋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赵县202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5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年第一批农村公益事业财政奖补项目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黑体" w:eastAsia="黑体" w:cs="黑体" w:hAnsi="黑体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二、项目建设地点</w:t>
      </w:r>
    </w:p>
    <w:p>
      <w:pPr>
        <w:pageBreakBefore w:val="0"/>
        <w:widowControl w:val="0"/>
        <w:wordWrap/>
        <w:overflowPunct/>
        <w:topLinePunct w:val="0"/>
        <w:adjustRightInd w:val="0"/>
        <w:snapToGrid w:val="0"/>
        <w:spacing w:line="360" w:lineRule="auto"/>
        <w:ind w:left="0" w:firstLine="570"/>
        <w:rPr>
          <w:rFonts w:ascii="仿宋" w:eastAsia="仿宋" w:cs="仿宋" w:hAnsi="仿宋"/>
          <w:sz w:val="32"/>
          <w:szCs w:val="32"/>
          <w:lang w:bidi="ar-SA"/>
          <w:highlight w:val="none"/>
        </w:rPr>
      </w:pPr>
      <w:r>
        <w:rPr>
          <w:rFonts w:ascii="仿宋" w:eastAsia="仿宋" w:cs="仿宋" w:hAnsi="仿宋"/>
          <w:sz w:val="32"/>
          <w:szCs w:val="32"/>
          <w:lang w:val="en-US" w:eastAsia="zh-CN"/>
        </w:rPr>
        <w:t>本项目包括新寨店镇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、南柏舍镇、北王里镇、韩村镇、沙河店镇、</w:t>
      </w:r>
      <w:r>
        <w:rPr>
          <w:rFonts w:ascii="仿宋" w:eastAsia="仿宋" w:cs="仿宋" w:hAnsi="仿宋" w:hint="eastAsia"/>
          <w:sz w:val="32"/>
          <w:szCs w:val="32"/>
        </w:rPr>
        <w:t>王西章镇、谢庄镇、赵州镇、高村乡、范庄镇、前大章乡11个乡镇</w:t>
      </w:r>
      <w:r>
        <w:rPr>
          <w:rFonts w:ascii="仿宋" w:eastAsia="仿宋" w:cs="仿宋" w:hAnsi="仿宋"/>
          <w:sz w:val="32"/>
          <w:szCs w:val="32"/>
        </w:rPr>
        <w:t>。</w:t>
      </w:r>
      <w:r>
        <w:rPr>
          <w:rFonts w:ascii="仿宋" w:eastAsia="仿宋" w:cs="仿宋" w:hAnsi="仿宋"/>
          <w:sz w:val="32"/>
          <w:szCs w:val="32"/>
          <w:lang w:bidi="ar-SA"/>
          <w:highlight w:val="none"/>
        </w:rPr>
        <w:t>具体包括：</w:t>
      </w:r>
      <w:r>
        <w:rPr>
          <w:rFonts w:ascii="仿宋" w:eastAsia="仿宋" w:cs="仿宋" w:hAnsi="仿宋" w:hint="eastAsia"/>
          <w:sz w:val="32"/>
          <w:szCs w:val="32"/>
          <w:lang w:bidi="ar-SA"/>
          <w:highlight w:val="none"/>
        </w:rPr>
        <w:t>赵州镇南解家疃村、付家湾村、眭家营村、北白尚村、宋村，南柏舍镇徐家寨村、杨家郭村、高庄村，沙河店镇小诰村、西杨村、北南冯村、杨召村，谢庄镇安家庄村、郜家庄村、大寺庄村、常信一村、孙家庄村，韩村镇苏家疃一村、东罗村、徐家庄村、各子一村、各子二村，前大章乡西白庄村、固德村、中帐村、双庙村，新寨店镇肖庄村、北解家疃村、彭家庄村，北王里镇小琉璃村、换马营村、南轮城村、永兴庄村，范庄镇高峰村、杨户北门村、大安二村、解家寨村，高村乡北王村、高村、辛卜庄村、王西章镇东洨洋村、胡家营村、屈西章村、南寺庄村，共44个村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80" w:lineRule="exact"/>
        <w:ind w:firstLine="640"/>
        <w:rPr>
          <w:rFonts w:ascii="黑体" w:eastAsia="黑体" w:cs="黑体" w:hAnsi="黑体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三、项目主要建设内容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ind w:firstLineChars="200" w:firstLine="640"/>
        <w:textAlignment w:val="baseline"/>
        <w:rPr>
          <w:rFonts w:ascii="仿宋" w:eastAsia="仿宋" w:cs="仿宋" w:hAnsi="仿宋"/>
          <w:sz w:val="32"/>
          <w:szCs w:val="32"/>
          <w:lang w:val="en-US" w:eastAsia="zh-CN"/>
        </w:rPr>
      </w:pPr>
      <w:r>
        <w:rPr>
          <w:rFonts w:ascii="仿宋" w:eastAsia="仿宋" w:cs="仿宋" w:hAnsi="仿宋"/>
          <w:sz w:val="32"/>
          <w:szCs w:val="32"/>
          <w:lang w:val="en-US" w:eastAsia="zh-CN"/>
        </w:rPr>
        <w:t>本工程为赵县2025年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第一批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农村公益事业财政奖补项目，建设内容包括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乡村道路硬化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、便道铺设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、路沿石铺设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、</w:t>
      </w:r>
      <w:bookmarkStart w:id="0" w:name="_GoBack"/>
      <w:r>
        <w:rPr>
          <w:rFonts w:ascii="仿宋" w:eastAsia="仿宋" w:cs="仿宋" w:hAnsi="仿宋"/>
          <w:sz w:val="32"/>
          <w:szCs w:val="32"/>
          <w:lang w:val="en-US" w:eastAsia="zh-CN"/>
        </w:rPr>
        <w:t>雨水管网</w:t>
      </w:r>
      <w:bookmarkEnd w:id="0"/>
      <w:r>
        <w:rPr>
          <w:rFonts w:ascii="仿宋" w:eastAsia="仿宋" w:cs="仿宋" w:hAnsi="仿宋"/>
          <w:sz w:val="32"/>
          <w:szCs w:val="32"/>
          <w:lang w:val="en-US" w:eastAsia="zh-CN"/>
        </w:rPr>
        <w:t>等；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Chars="200" w:firstLine="640"/>
        <w:textAlignment w:val="auto"/>
        <w:rPr>
          <w:rFonts w:ascii="仿宋" w:eastAsia="仿宋" w:cs="仿宋" w:hAnsi="仿宋"/>
          <w:sz w:val="32"/>
          <w:szCs w:val="32"/>
          <w:lang w:val="en-US" w:eastAsia="zh-CN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黑体" w:eastAsia="黑体" w:cs="黑体" w:hAnsi="黑体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四、执行结果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Chars="200" w:firstLine="640"/>
        <w:textAlignment w:val="auto"/>
        <w:rPr>
          <w:rFonts w:ascii="仿宋" w:eastAsia="仿宋" w:cs="仿宋" w:hAnsi="仿宋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赵县审批局对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赵县2025年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第一批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农村公益事业财政奖补项目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进行了立项审批。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44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个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农村公益事业财政奖补项目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已全部完工，投入使用。</w:t>
      </w:r>
    </w:p>
    <w:sectPr>
      <w:pgSz w:w="11906" w:h="16838"/>
      <w:pgMar w:top="1440" w:right="1800" w:bottom="1440" w:left="180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7A"/>
    <w:family w:val="auto"/>
    <w:pitch w:val="variable"/>
    <w:sig w:usb0="00000003" w:usb1="288F0000" w:usb2="00000006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80"/>
    <w:family w:val="auto"/>
    <w:pitch w:val="variable"/>
    <w:sig w:usb0="E0002AFF" w:usb1="C0007841" w:usb2="00000009" w:usb3="00000000" w:csb0="400001FF" w:csb1="FFFF0000"/>
  </w:font>
  <w:font w:name="Arial"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variable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variable"/>
    <w:sig w:usb0="00000000" w:usb1="00000000" w:usb2="00000000" w:usb3="00000000" w:csb0="00040000" w:csb1="00000000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BF6DDF1F"/>
    <w:multiLevelType w:val="multilevel"/>
    <w:tmpl w:val="56AAC745"/>
    <w:lvl w:ilvl="0">
      <w:start w:val="1"/>
      <w:numFmt w:val="decimal"/>
      <w:lvlRestart w:val="0"/>
      <w:lvlText w:val="%1"/>
      <w:lvlJc w:val="left"/>
      <w:pPr>
        <w:tabs>
          <w:tab w:val="num" w:pos="432"/>
        </w:tabs>
        <w:ind w:left="432" w:hanging="432"/>
      </w:pPr>
      <w:rPr>
        <w:rFonts w:ascii="Times New Roman" w:hAnsi="Times New Roman" w:eastAsia="宋体" w:hint="default"/>
      </w:rPr>
    </w:lvl>
    <w:lvl w:ilvl="1">
      <w:start w:val="1"/>
      <w:numFmt w:val="decimal"/>
      <w:pStyle w:val="2"/>
      <w:isLgl/>
      <w:lvlText w:val="%1.%2"/>
      <w:lvlJc w:val="left"/>
      <w:pPr>
        <w:tabs>
          <w:tab w:val="num" w:pos="859"/>
        </w:tabs>
        <w:ind w:left="859" w:hanging="575"/>
      </w:pPr>
      <w:rPr>
        <w:rFonts w:ascii="Times New Roman" w:hAnsi="Times New Roman" w:eastAsia="宋体" w:hint="eastAsia"/>
      </w:rPr>
    </w:lvl>
    <w:lvl w:ilvl="2">
      <w:start w:val="1"/>
      <w:numFmt w:val="decimal"/>
      <w:isLgl/>
      <w:lvlText w:val="%1.%2.%3"/>
      <w:lvlJc w:val="left"/>
      <w:pPr>
        <w:tabs>
          <w:tab w:val="num" w:pos="1004"/>
        </w:tabs>
        <w:ind w:left="1004" w:hanging="720"/>
      </w:pPr>
      <w:rPr>
        <w:rFonts w:hint="default"/>
        <w:b/>
        <w:bCs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position w:val="0"/>
        <w:u w:val="none"/>
        <w:vertAlign w:val="baseline"/>
      </w:rPr>
    </w:lvl>
    <w:lvl w:ilvl="3">
      <w:start w:val="1"/>
      <w:numFmt w:val="decimal"/>
      <w:isLgl/>
      <w:lvlText w:val="%1.%2.%3.%4"/>
      <w:lvlJc w:val="left"/>
      <w:pPr>
        <w:tabs>
          <w:tab w:val="num" w:pos="864"/>
        </w:tabs>
        <w:ind w:left="864" w:hanging="864"/>
      </w:pPr>
      <w:rPr>
        <w:rFonts w:ascii="Times New Roman" w:hAnsi="Times New Roman" w:eastAsia="宋体" w:hint="eastAsia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tabs>
          <w:tab w:val="num" w:pos="1151"/>
        </w:tabs>
        <w:ind w:left="1151" w:hanging="1151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tabs>
          <w:tab w:val="num" w:pos="1296"/>
        </w:tabs>
        <w:ind w:left="1296" w:hanging="129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tabs>
          <w:tab w:val="num" w:pos="1583"/>
        </w:tabs>
        <w:ind w:left="1583" w:hanging="1583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  <w:docVars>
    <w:docVar w:name="commondata" w:val="eyJoZGlkIjoiNDE3NzAwNzVlMjA5MTQwNjdhYTRmMjA1Nzk1NzQyOTc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next w:val="15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numPr>
        <w:ilvl w:val="1"/>
        <w:numId w:val="1"/>
      </w:numPr>
      <w:tabs>
        <w:tab w:val="left" w:pos="432"/>
        <w:tab w:val="left" w:pos="575"/>
      </w:tabs>
      <w:spacing w:line="360" w:lineRule="auto"/>
      <w:outlineLvl w:val="1"/>
    </w:pPr>
    <w:rPr>
      <w:rFonts w:ascii="Times New Roman" w:cs="Times New Roman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宋体" w:cs="Times New Roman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customStyle="1" w:yozoId="4094" w:styleId="15">
    <w:name w:val="Default"/>
    <w:qFormat/>
    <w:pPr>
      <w:widowControl w:val="0"/>
      <w:autoSpaceDE w:val="0"/>
      <w:autoSpaceDN w:val="0"/>
      <w:adjustRightInd w:val="0"/>
    </w:pPr>
    <w:rPr>
      <w:rFonts w:ascii="宋体" w:eastAsia="宋体" w:cs="Times New Roman" w:hAnsi="Times New Roman"/>
      <w:color w:val="000000"/>
      <w:sz w:val="24"/>
      <w:szCs w:val="22"/>
      <w:lang w:val="en-US" w:eastAsia="zh-CN" w:bidi="ar-SA"/>
    </w:rPr>
  </w:style>
  <w:style w:type="paragraph" w:styleId="16">
    <w:name w:val="Body Text Indent"/>
    <w:qFormat/>
    <w:basedOn w:val="0"/>
    <w:pPr>
      <w:ind w:firstLine="435"/>
    </w:pPr>
    <w:rPr>
      <w:rFonts w:eastAsia="仿宋_GB2312"/>
      <w:w w:val="90"/>
      <w:sz w:val="28"/>
    </w:rPr>
  </w:style>
  <w:style w:type="paragraph" w:styleId="17">
    <w:name w:val="footer"/>
    <w:qFormat/>
    <w:basedOn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8">
    <w:name w:val="header"/>
    <w:qFormat/>
    <w:basedOn w:val="0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9">
    <w:name w:val="Body Text First Indent 2"/>
    <w:qFormat/>
    <w:basedOn w:val="16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customXml" Target="../customXml/item1.xml"/><Relationship Id="rId6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614B977E-AE87-47DB-AC0A-F4EFFAAC6CD9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2</TotalTime>
  <Application>WPS_Yozo_Office9.0.5727.102ZH.HE25</Application>
  <Pages>2</Pages>
  <Words>0</Words>
  <Characters>397</Characters>
  <Lines>0</Lines>
  <Paragraphs>13</Paragraphs>
  <CharactersWithSpaces>530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lenovo</dc:creator>
  <cp:lastModifiedBy>A</cp:lastModifiedBy>
  <cp:revision>3</cp:revision>
  <cp:lastPrinted>2024-04-25T02:00:00Z</cp:lastPrinted>
  <dcterms:created xsi:type="dcterms:W3CDTF">2022-03-22T03:17:00Z</dcterms:created>
  <dcterms:modified xsi:type="dcterms:W3CDTF">2026-01-27T02:21:27Z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2052-11.1.0.10314</vt:lpwstr>
  </property>
  <property fmtid="{D5CDD505-2E9C-101B-9397-08002B2CF9AE}" pid="3" name="ICV">
    <vt:lpwstr>9FEA4D16689F4EE99551FAA66B752621</vt:lpwstr>
  </property>
</Properties>
</file>