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B7FF56">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b/>
          <w:bCs/>
          <w:i w:val="0"/>
          <w:iCs w:val="0"/>
          <w:caps w:val="0"/>
          <w:color w:val="333333"/>
          <w:spacing w:val="0"/>
          <w:sz w:val="30"/>
          <w:szCs w:val="30"/>
          <w:shd w:val="clear" w:fill="FFFFFF"/>
        </w:rPr>
        <w:t>关于延续实施创新企业境内发行存托凭证试点阶段有关税收政策的公告</w:t>
      </w:r>
    </w:p>
    <w:p w14:paraId="34E19AA6">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i w:val="0"/>
          <w:iCs w:val="0"/>
          <w:caps w:val="0"/>
          <w:color w:val="333333"/>
          <w:spacing w:val="0"/>
          <w:sz w:val="24"/>
          <w:szCs w:val="24"/>
          <w:shd w:val="clear" w:fill="FFFFFF"/>
          <w:lang w:eastAsia="zh-CN"/>
        </w:rPr>
      </w:pPr>
      <w:r>
        <w:rPr>
          <w:rFonts w:hint="eastAsia" w:ascii="微软雅黑" w:hAnsi="微软雅黑" w:eastAsia="微软雅黑" w:cs="微软雅黑"/>
          <w:i w:val="0"/>
          <w:iCs w:val="0"/>
          <w:caps w:val="0"/>
          <w:color w:val="333333"/>
          <w:spacing w:val="0"/>
          <w:sz w:val="24"/>
          <w:szCs w:val="24"/>
          <w:shd w:val="clear" w:fill="FFFFFF"/>
          <w:lang w:eastAsia="zh-CN"/>
        </w:rPr>
        <w:t>文号：</w:t>
      </w:r>
      <w:r>
        <w:rPr>
          <w:rFonts w:hint="eastAsia" w:ascii="微软雅黑" w:hAnsi="微软雅黑" w:eastAsia="微软雅黑" w:cs="微软雅黑"/>
          <w:i w:val="0"/>
          <w:iCs w:val="0"/>
          <w:caps w:val="0"/>
          <w:color w:val="333333"/>
          <w:spacing w:val="0"/>
          <w:sz w:val="24"/>
          <w:szCs w:val="24"/>
          <w:shd w:val="clear" w:fill="FFFFFF"/>
        </w:rPr>
        <w:t>财政部 税务总局 中国证监会公告2026年第8号</w:t>
      </w:r>
    </w:p>
    <w:p w14:paraId="3762E081">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为继续支持实施创新驱动发展战略，现将创新企业境内发行存托凭证（以下称创新企业CDR）试点阶段涉及的有关税收政策公告如下： </w:t>
      </w:r>
    </w:p>
    <w:p w14:paraId="47D27BEB">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一、个人所得税政策 </w:t>
      </w:r>
    </w:p>
    <w:p w14:paraId="55554CB6">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1.自2026年1月1日至2027年12月31日，对个人投资者转让创新企业CDR取得的差价所得，暂免征收个人所得税。 </w:t>
      </w:r>
    </w:p>
    <w:p w14:paraId="28DBF5EC">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2.自2026年1月1日至2027年12</w:t>
      </w:r>
      <w:bookmarkStart w:id="0" w:name="_GoBack"/>
      <w:r>
        <w:rPr>
          <w:rFonts w:hint="eastAsia" w:ascii="微软雅黑" w:hAnsi="微软雅黑" w:eastAsia="微软雅黑" w:cs="微软雅黑"/>
          <w:i w:val="0"/>
          <w:iCs w:val="0"/>
          <w:caps w:val="0"/>
          <w:color w:val="333333"/>
          <w:spacing w:val="0"/>
          <w:sz w:val="24"/>
          <w:szCs w:val="24"/>
          <w:shd w:val="clear" w:fill="FFFFFF"/>
        </w:rPr>
        <w:t>月31日，对个人投资者持有创新企业CDR取得的股息红利所得，实施股息红利差</w:t>
      </w:r>
      <w:bookmarkEnd w:id="0"/>
      <w:r>
        <w:rPr>
          <w:rFonts w:hint="eastAsia" w:ascii="微软雅黑" w:hAnsi="微软雅黑" w:eastAsia="微软雅黑" w:cs="微软雅黑"/>
          <w:i w:val="0"/>
          <w:iCs w:val="0"/>
          <w:caps w:val="0"/>
          <w:color w:val="333333"/>
          <w:spacing w:val="0"/>
          <w:sz w:val="24"/>
          <w:szCs w:val="24"/>
          <w:shd w:val="clear" w:fill="FFFFFF"/>
        </w:rPr>
        <w:t>别化个人所得税政策，具体参照《财政部 国家税务总局 证监会关于实施上市公司股息红利差别化个人所得税政策有关问题的通知》（财税〔2012〕85号）、《财政部 国家税务总局 证监会关于上市公司股息红利差别化个人所得税政策有关问题的通知》（财税〔2015〕101号）的相关规定执行，由创新企业在其境内的存托机构代扣代缴税款，并向存托机构所在地税务机关办理全员全额明细申报。对于个人投资者取得的股息红利在境外已缴纳的税款，可按照个人所得税法以及双边税收协定（安排）的相关规定予以抵免。 </w:t>
      </w:r>
    </w:p>
    <w:p w14:paraId="5404A6C6">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二、企业所得税政策 </w:t>
      </w:r>
    </w:p>
    <w:p w14:paraId="6E65EFE7">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1.对企业投资者转让创新企业CDR取得的差价所得和持有创新企业CDR取得的股息红利所得，按转让股票差价所得和持有股票的股息红利所得政策规定征免企业所得税。 </w:t>
      </w:r>
    </w:p>
    <w:p w14:paraId="04AEDD7D">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2.对公募证券投资基金（封闭式证券投资基金、开放式证券投资基金）转让创新企业CDR取得的差价所得和持有创新企业CDR取得的股息红利所得，按公募证券投资基金税收政策规定暂不征收企业所得税。 </w:t>
      </w:r>
    </w:p>
    <w:p w14:paraId="0208A400">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3.对合格境外机构投资者（QFII）、人民币合格境外机构投资者（RQFII）转让创新企业CDR取得的差价所得和持有创新企业CDR取得的股息红利所得，视同转让或持有据以发行创新企业CDR的基础股票取得的权益性资产转让所得和股息红利所得征免企业所得税。 </w:t>
      </w:r>
    </w:p>
    <w:p w14:paraId="1F71EEAF">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三、增值税政策 </w:t>
      </w:r>
    </w:p>
    <w:p w14:paraId="73903C27">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1.对个人投资者转让创新企业CDR取得的差价收入，暂免征收增值税。 </w:t>
      </w:r>
    </w:p>
    <w:p w14:paraId="23B47651">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2.对单位投资者转让创新企业CDR取得的差价收入，按金融商品转让政策规定征免增值税。 </w:t>
      </w:r>
    </w:p>
    <w:p w14:paraId="1262D249">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3.自2026年1月1日至2027年12月31日，对公募证券投资基金（封闭式证券投资基金、开放式证券投资基金）管理人运营基金过程中转让创新企业CDR取得的差价收入，暂免征收增值税。 </w:t>
      </w:r>
    </w:p>
    <w:p w14:paraId="197FDDD4">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4.对合格境外机构投资者（QFII）、人民币合格境外机构投资者（RQFII）委托境内公司转让创新企业CDR取得的差价收入，暂免征收增值税。 </w:t>
      </w:r>
    </w:p>
    <w:p w14:paraId="5697F5C3">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四、其他相关事项 </w:t>
      </w:r>
    </w:p>
    <w:p w14:paraId="61DBB648">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本公告所称创新企业CDR，是指符合《国务院办公厅转发证监会关于开展创新企业境内发行股票或存托凭证试点若干意见的通知》（国办发〔2018〕21号）规定的试点企业，以境外股票为基础证券，由存托人签发并在中国境内发行，代表境外基础证券权益的证券。 </w:t>
      </w:r>
    </w:p>
    <w:p w14:paraId="042503FC">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特此公告。 </w:t>
      </w:r>
    </w:p>
    <w:p w14:paraId="34BDCAFD">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p>
    <w:p w14:paraId="546C32DC">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财政部 税务总局 中国证监会  </w:t>
      </w:r>
    </w:p>
    <w:p w14:paraId="6881A548">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2026年1月14日 </w:t>
      </w:r>
    </w:p>
    <w:p w14:paraId="685F136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DB47CF3"/>
    <w:rsid w:val="42D256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2026-01-26T02:02:15Z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5B08EBDC7A544B4F8156F52F0B216272_12</vt:lpwstr>
  </property>
</Properties>
</file>