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D6F2E3E">
      <w:pPr>
        <w:keepNext w:val="0"/>
        <w:keepLines w:val="0"/>
        <w:pageBreakBefore w:val="0"/>
        <w:widowControl/>
        <w:kinsoku/>
        <w:wordWrap/>
        <w:overflowPunct/>
        <w:topLinePunct w:val="0"/>
        <w:autoSpaceDE/>
        <w:autoSpaceDN/>
        <w:bidi w:val="0"/>
        <w:adjustRightInd w:val="0"/>
        <w:snapToGrid w:val="0"/>
        <w:spacing w:after="0" w:line="600" w:lineRule="exact"/>
        <w:jc w:val="center"/>
        <w:textAlignment w:val="auto"/>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赵县水利局</w:t>
      </w:r>
    </w:p>
    <w:p w14:paraId="72845804">
      <w:pPr>
        <w:keepNext w:val="0"/>
        <w:keepLines w:val="0"/>
        <w:pageBreakBefore w:val="0"/>
        <w:widowControl/>
        <w:kinsoku/>
        <w:wordWrap/>
        <w:overflowPunct/>
        <w:topLinePunct w:val="0"/>
        <w:autoSpaceDE/>
        <w:autoSpaceDN/>
        <w:spacing w:after="0" w:line="60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lang w:val="en-US" w:eastAsia="zh-CN"/>
        </w:rPr>
        <w:t>202</w:t>
      </w:r>
      <w:r>
        <w:rPr>
          <w:rFonts w:ascii="方正小标宋简体" w:hAnsi="方正小标宋简体" w:eastAsia="方正小标宋简体" w:cs="方正小标宋简体"/>
          <w:sz w:val="44"/>
          <w:szCs w:val="44"/>
          <w:lang w:val="en-US" w:eastAsia="zh-CN"/>
        </w:rPr>
        <w:t>5</w:t>
      </w:r>
      <w:r>
        <w:rPr>
          <w:rFonts w:hint="eastAsia" w:ascii="方正小标宋简体" w:hAnsi="方正小标宋简体" w:eastAsia="方正小标宋简体" w:cs="方正小标宋简体"/>
          <w:sz w:val="44"/>
          <w:szCs w:val="44"/>
          <w:lang w:val="en-US" w:eastAsia="zh-CN"/>
        </w:rPr>
        <w:t>年</w:t>
      </w:r>
      <w:r>
        <w:rPr>
          <w:rFonts w:ascii="方正小标宋简体" w:hAnsi="方正小标宋简体" w:eastAsia="方正小标宋简体" w:cs="方正小标宋简体"/>
          <w:sz w:val="44"/>
          <w:szCs w:val="44"/>
          <w:lang w:val="en-US" w:eastAsia="zh-CN"/>
        </w:rPr>
        <w:t>度法治政府建设情况报告</w:t>
      </w:r>
    </w:p>
    <w:p w14:paraId="0229E209">
      <w:pPr>
        <w:keepNext w:val="0"/>
        <w:keepLines w:val="0"/>
        <w:pageBreakBefore w:val="0"/>
        <w:kinsoku/>
        <w:wordWrap/>
        <w:overflowPunct/>
        <w:topLinePunct w:val="0"/>
        <w:autoSpaceDE/>
        <w:autoSpaceDN/>
        <w:bidi w:val="0"/>
        <w:spacing w:after="0" w:line="600" w:lineRule="exact"/>
        <w:ind w:firstLine="640" w:firstLineChars="200"/>
        <w:jc w:val="both"/>
        <w:textAlignment w:val="auto"/>
        <w:rPr>
          <w:rFonts w:ascii="Times New Roman" w:hAnsi="Times New Roman" w:eastAsia="仿宋_GB2312" w:cs="Times New Roman"/>
          <w:sz w:val="32"/>
          <w:szCs w:val="32"/>
          <w:lang w:val="en-US" w:eastAsia="zh-CN"/>
        </w:rPr>
      </w:pPr>
    </w:p>
    <w:p w14:paraId="638BA4D1">
      <w:pPr>
        <w:keepNext w:val="0"/>
        <w:keepLines w:val="0"/>
        <w:pageBreakBefore w:val="0"/>
        <w:kinsoku/>
        <w:wordWrap/>
        <w:overflowPunct/>
        <w:topLinePunct w:val="0"/>
        <w:autoSpaceDE/>
        <w:autoSpaceDN/>
        <w:adjustRightInd/>
        <w:snapToGrid w:val="0"/>
        <w:spacing w:line="560" w:lineRule="exact"/>
        <w:ind w:firstLine="640" w:firstLineChars="200"/>
        <w:textAlignment w:val="baseline"/>
        <w:rPr>
          <w:rFonts w:ascii="仿宋_GB2312" w:hAnsi="仿宋_GB2312" w:eastAsia="仿宋_GB2312"/>
          <w:sz w:val="32"/>
          <w:szCs w:val="32"/>
        </w:rPr>
      </w:pPr>
      <w:r>
        <w:rPr>
          <w:rFonts w:ascii="Times New Roman" w:hAnsi="Times New Roman" w:eastAsia="仿宋_GB2312" w:cs="Times New Roman"/>
          <w:sz w:val="32"/>
          <w:szCs w:val="32"/>
          <w:lang w:val="en-US" w:eastAsia="zh-CN"/>
        </w:rPr>
        <w:t>2025年，在县</w:t>
      </w:r>
      <w:r>
        <w:rPr>
          <w:rFonts w:hint="eastAsia" w:ascii="Times New Roman" w:hAnsi="Times New Roman" w:eastAsia="仿宋_GB2312" w:cs="Times New Roman"/>
          <w:sz w:val="32"/>
          <w:szCs w:val="32"/>
          <w:lang w:val="en-US" w:eastAsia="zh-CN"/>
        </w:rPr>
        <w:t>委、县政府的领导下，在上级水行政主管部门的指导下，以习近平新时代中国特色社会主义思想为指导，</w:t>
      </w:r>
      <w:r>
        <w:rPr>
          <w:rFonts w:hint="eastAsia" w:ascii="仿宋_GB2312" w:hAnsi="方正仿宋简体" w:eastAsia="仿宋_GB2312" w:cs="仿宋_GB2312"/>
          <w:sz w:val="32"/>
          <w:szCs w:val="32"/>
        </w:rPr>
        <w:t>深入学习贯彻习近平法治思想，</w:t>
      </w:r>
      <w:r>
        <w:rPr>
          <w:rFonts w:hint="eastAsia" w:ascii="Times New Roman" w:hAnsi="Times New Roman" w:eastAsia="仿宋_GB2312" w:cs="Times New Roman"/>
          <w:sz w:val="32"/>
          <w:szCs w:val="32"/>
          <w:lang w:val="en-US" w:eastAsia="zh-CN"/>
        </w:rPr>
        <w:t>牢固</w:t>
      </w:r>
      <w:r>
        <w:rPr>
          <w:rFonts w:ascii="Times New Roman" w:hAnsi="Times New Roman" w:eastAsia="仿宋_GB2312" w:cs="Times New Roman"/>
          <w:sz w:val="32"/>
          <w:szCs w:val="32"/>
          <w:lang w:val="en-US" w:eastAsia="zh-CN"/>
        </w:rPr>
        <w:t>依法行政</w:t>
      </w:r>
      <w:r>
        <w:rPr>
          <w:rFonts w:hint="eastAsia" w:ascii="Times New Roman" w:hAnsi="Times New Roman" w:eastAsia="仿宋_GB2312" w:cs="Times New Roman"/>
          <w:sz w:val="32"/>
          <w:szCs w:val="32"/>
          <w:lang w:val="en-US" w:eastAsia="zh-CN"/>
        </w:rPr>
        <w:t>理念，狠抓</w:t>
      </w:r>
      <w:r>
        <w:rPr>
          <w:rFonts w:ascii="Times New Roman" w:hAnsi="Times New Roman" w:eastAsia="仿宋_GB2312" w:cs="Times New Roman"/>
          <w:sz w:val="32"/>
          <w:szCs w:val="32"/>
          <w:lang w:val="en-US" w:eastAsia="zh-CN"/>
        </w:rPr>
        <w:t>水利领域法治建设，</w:t>
      </w:r>
      <w:r>
        <w:rPr>
          <w:rFonts w:hint="eastAsia" w:ascii="仿宋_GB2312" w:hAnsi="仿宋_GB2312" w:eastAsia="仿宋_GB2312"/>
          <w:sz w:val="32"/>
          <w:szCs w:val="32"/>
        </w:rPr>
        <w:t>规范</w:t>
      </w:r>
      <w:r>
        <w:rPr>
          <w:rFonts w:ascii="仿宋_GB2312" w:hAnsi="仿宋_GB2312" w:eastAsia="仿宋_GB2312"/>
          <w:sz w:val="32"/>
          <w:szCs w:val="32"/>
        </w:rPr>
        <w:t>水行政执法，</w:t>
      </w:r>
      <w:r>
        <w:rPr>
          <w:rFonts w:hint="eastAsia" w:ascii="仿宋_GB2312" w:hAnsi="仿宋_GB2312" w:eastAsia="仿宋_GB2312"/>
          <w:sz w:val="32"/>
          <w:szCs w:val="32"/>
        </w:rPr>
        <w:t>着力提高依法</w:t>
      </w:r>
      <w:r>
        <w:rPr>
          <w:rFonts w:ascii="仿宋_GB2312" w:hAnsi="仿宋_GB2312" w:eastAsia="仿宋_GB2312"/>
          <w:sz w:val="32"/>
          <w:szCs w:val="32"/>
        </w:rPr>
        <w:t>行政能力，促进水利事业高质量发展。</w:t>
      </w:r>
    </w:p>
    <w:p w14:paraId="6A509AE7">
      <w:pPr>
        <w:keepNext w:val="0"/>
        <w:keepLines w:val="0"/>
        <w:pageBreakBefore w:val="0"/>
        <w:kinsoku/>
        <w:wordWrap/>
        <w:overflowPunct/>
        <w:topLinePunct w:val="0"/>
        <w:autoSpaceDE/>
        <w:autoSpaceDN/>
        <w:adjustRightInd/>
        <w:snapToGrid w:val="0"/>
        <w:spacing w:line="560" w:lineRule="exact"/>
        <w:ind w:firstLine="640" w:firstLineChars="200"/>
        <w:textAlignment w:val="baseline"/>
        <w:rPr>
          <w:rFonts w:hint="eastAsia" w:ascii="黑体" w:hAnsi="黑体" w:eastAsia="黑体" w:cs="黑体"/>
          <w:sz w:val="32"/>
          <w:szCs w:val="32"/>
        </w:rPr>
      </w:pPr>
      <w:r>
        <w:rPr>
          <w:rFonts w:hint="eastAsia" w:ascii="黑体" w:hAnsi="黑体" w:eastAsia="黑体" w:cs="黑体"/>
          <w:sz w:val="32"/>
          <w:szCs w:val="32"/>
        </w:rPr>
        <w:t>一、2025年度法治政府建设情况</w:t>
      </w:r>
    </w:p>
    <w:p w14:paraId="4612A663">
      <w:pPr>
        <w:spacing w:after="0" w:line="600" w:lineRule="exact"/>
        <w:ind w:left="0" w:firstLine="640" w:firstLineChars="200"/>
        <w:rPr>
          <w:rFonts w:hint="eastAsia" w:ascii="仿宋_GB2312" w:hAnsi="方正仿宋简体" w:eastAsia="仿宋_GB2312" w:cs="仿宋_GB2312"/>
          <w:sz w:val="32"/>
          <w:szCs w:val="32"/>
        </w:rPr>
      </w:pPr>
      <w:r>
        <w:rPr>
          <w:rFonts w:hint="eastAsia" w:ascii="楷体_GB2312" w:hAnsi="楷体_GB2312" w:eastAsia="楷体_GB2312" w:cs="楷体_GB2312"/>
          <w:bCs/>
          <w:sz w:val="32"/>
          <w:szCs w:val="32"/>
        </w:rPr>
        <w:t>一是强化法治建设领导责任制。</w:t>
      </w:r>
      <w:r>
        <w:rPr>
          <w:rFonts w:hint="eastAsia" w:ascii="仿宋_GB2312" w:hAnsi="方正仿宋简体" w:eastAsia="仿宋_GB2312" w:cs="仿宋_GB2312"/>
          <w:sz w:val="32"/>
          <w:szCs w:val="32"/>
        </w:rPr>
        <w:t>严格落实党政主要负责人履行推进法治建设第一责任人职责，成立以局长为组长、分管副局长为副组长、各</w:t>
      </w:r>
      <w:r>
        <w:rPr>
          <w:rFonts w:ascii="仿宋_GB2312" w:hAnsi="方正仿宋简体" w:eastAsia="仿宋_GB2312" w:cs="仿宋_GB2312"/>
          <w:sz w:val="32"/>
          <w:szCs w:val="32"/>
        </w:rPr>
        <w:t>股</w:t>
      </w:r>
      <w:r>
        <w:rPr>
          <w:rFonts w:hint="eastAsia" w:ascii="仿宋_GB2312" w:hAnsi="方正仿宋简体" w:eastAsia="仿宋_GB2312" w:cs="仿宋_GB2312"/>
          <w:sz w:val="32"/>
          <w:szCs w:val="32"/>
        </w:rPr>
        <w:t>室及</w:t>
      </w:r>
      <w:r>
        <w:rPr>
          <w:rFonts w:ascii="仿宋_GB2312" w:hAnsi="方正仿宋简体" w:eastAsia="仿宋_GB2312" w:cs="仿宋_GB2312"/>
          <w:sz w:val="32"/>
          <w:szCs w:val="32"/>
        </w:rPr>
        <w:t>直</w:t>
      </w:r>
      <w:r>
        <w:rPr>
          <w:rFonts w:hint="eastAsia" w:ascii="仿宋_GB2312" w:hAnsi="方正仿宋简体" w:eastAsia="仿宋_GB2312" w:cs="仿宋_GB2312"/>
          <w:sz w:val="32"/>
          <w:szCs w:val="32"/>
        </w:rPr>
        <w:t>属单位负责人为成员的法治政府建设工作领导小组，明确职责分工，定期召开会议研究部署法治工作，形成了主要领导亲自抓、分管领导具体抓、各</w:t>
      </w:r>
      <w:r>
        <w:rPr>
          <w:rFonts w:ascii="仿宋_GB2312" w:hAnsi="方正仿宋简体" w:eastAsia="仿宋_GB2312" w:cs="仿宋_GB2312"/>
          <w:sz w:val="32"/>
          <w:szCs w:val="32"/>
        </w:rPr>
        <w:t>股</w:t>
      </w:r>
      <w:r>
        <w:rPr>
          <w:rFonts w:hint="eastAsia" w:ascii="仿宋_GB2312" w:hAnsi="方正仿宋简体" w:eastAsia="仿宋_GB2312" w:cs="仿宋_GB2312"/>
          <w:sz w:val="32"/>
          <w:szCs w:val="32"/>
        </w:rPr>
        <w:t>室协同配合的工作格局。</w:t>
      </w:r>
    </w:p>
    <w:p w14:paraId="4E2246C6">
      <w:pPr>
        <w:spacing w:after="0" w:line="600" w:lineRule="exact"/>
        <w:ind w:firstLine="640" w:firstLineChars="200"/>
        <w:rPr>
          <w:rFonts w:hint="eastAsia" w:ascii="仿宋_GB2312" w:hAnsi="方正仿宋简体" w:eastAsia="仿宋_GB2312" w:cs="仿宋_GB2312"/>
          <w:sz w:val="32"/>
          <w:szCs w:val="32"/>
        </w:rPr>
      </w:pPr>
      <w:r>
        <w:rPr>
          <w:rFonts w:hint="eastAsia" w:ascii="楷体_GB2312" w:hAnsi="楷体_GB2312" w:eastAsia="楷体_GB2312" w:cs="楷体_GB2312"/>
          <w:bCs/>
          <w:sz w:val="32"/>
          <w:szCs w:val="32"/>
        </w:rPr>
        <w:t>二是完善法治建设工作制度。</w:t>
      </w:r>
      <w:r>
        <w:rPr>
          <w:rFonts w:hint="eastAsia" w:ascii="仿宋_GB2312" w:hAnsi="方正仿宋简体" w:eastAsia="仿宋_GB2312" w:cs="仿宋_GB2312"/>
          <w:sz w:val="32"/>
          <w:szCs w:val="32"/>
        </w:rPr>
        <w:t>将法治建设工作纳入年度工作计划和目标考核体系，与民政业务工作同部署、同落实、同检查、同考核。健全</w:t>
      </w:r>
      <w:r>
        <w:rPr>
          <w:rFonts w:ascii="仿宋_GB2312" w:hAnsi="方正仿宋简体" w:eastAsia="仿宋_GB2312" w:cs="仿宋_GB2312"/>
          <w:sz w:val="32"/>
          <w:szCs w:val="32"/>
        </w:rPr>
        <w:t>完善</w:t>
      </w:r>
      <w:r>
        <w:rPr>
          <w:rFonts w:hint="eastAsia" w:ascii="仿宋_GB2312" w:hAnsi="方正仿宋简体" w:eastAsia="仿宋_GB2312" w:cs="仿宋_GB2312"/>
          <w:sz w:val="32"/>
          <w:szCs w:val="32"/>
        </w:rPr>
        <w:t>重大行政决策程序、规范性文件合法性审查、行政执法监督等制度，确保各项工作依法依规开展。</w:t>
      </w:r>
    </w:p>
    <w:p w14:paraId="5C135408">
      <w:pPr>
        <w:keepNext w:val="0"/>
        <w:keepLines w:val="0"/>
        <w:pageBreakBefore w:val="0"/>
        <w:kinsoku/>
        <w:wordWrap/>
        <w:overflowPunct/>
        <w:topLinePunct w:val="0"/>
        <w:autoSpaceDE/>
        <w:autoSpaceDN/>
        <w:spacing w:beforeAutospacing="0" w:after="0" w:afterAutospacing="0" w:line="600" w:lineRule="exact"/>
        <w:ind w:left="0" w:firstLine="640" w:firstLineChars="200"/>
        <w:jc w:val="both"/>
        <w:rPr>
          <w:rFonts w:hint="eastAsia" w:ascii="仿宋_GB2312" w:hAnsi="仿宋_GB2312" w:eastAsia="仿宋_GB2312" w:cs="仿宋_GB2312"/>
          <w:sz w:val="32"/>
          <w:szCs w:val="32"/>
          <w:lang w:val="en-US" w:eastAsia="zh-CN"/>
        </w:rPr>
      </w:pPr>
      <w:r>
        <w:rPr>
          <w:rFonts w:ascii="楷体_GB2312" w:hAnsi="楷体_GB2312" w:eastAsia="楷体_GB2312" w:cs="楷体_GB2312"/>
          <w:sz w:val="32"/>
          <w:szCs w:val="32"/>
          <w:lang w:val="en-US" w:eastAsia="zh-CN"/>
        </w:rPr>
        <w:t>三</w:t>
      </w:r>
      <w:r>
        <w:rPr>
          <w:rFonts w:hint="eastAsia" w:ascii="楷体_GB2312" w:hAnsi="楷体_GB2312" w:eastAsia="楷体_GB2312" w:cs="楷体_GB2312"/>
          <w:sz w:val="32"/>
          <w:szCs w:val="32"/>
          <w:lang w:val="en-US" w:eastAsia="zh-CN"/>
        </w:rPr>
        <w:t>是落实“双随机、一公开”监管工作。按照202</w:t>
      </w:r>
      <w:r>
        <w:rPr>
          <w:rFonts w:ascii="楷体_GB2312" w:hAnsi="楷体_GB2312" w:eastAsia="楷体_GB2312" w:cs="楷体_GB2312"/>
          <w:sz w:val="32"/>
          <w:szCs w:val="32"/>
          <w:lang w:val="en-US" w:eastAsia="zh-CN"/>
        </w:rPr>
        <w:t>5</w:t>
      </w:r>
      <w:r>
        <w:rPr>
          <w:rFonts w:hint="eastAsia" w:ascii="仿宋_GB2312" w:hAnsi="仿宋_GB2312" w:eastAsia="仿宋_GB2312" w:cs="仿宋_GB2312"/>
          <w:sz w:val="32"/>
          <w:szCs w:val="32"/>
          <w:lang w:val="en-US" w:eastAsia="zh-CN"/>
        </w:rPr>
        <w:t>年度“双随机、一公开”监管工作要求，印发了《赵县水利局</w:t>
      </w:r>
      <w:r>
        <w:rPr>
          <w:rFonts w:ascii="Times New Roman" w:hAnsi="Times New Roman" w:eastAsia="仿宋_GB2312" w:cs="Times New Roman"/>
          <w:sz w:val="32"/>
          <w:szCs w:val="32"/>
          <w:lang w:val="en-US" w:eastAsia="zh-CN"/>
        </w:rPr>
        <w:t>2025</w:t>
      </w:r>
      <w:r>
        <w:rPr>
          <w:rFonts w:hint="eastAsia" w:ascii="仿宋_GB2312" w:hAnsi="仿宋_GB2312" w:eastAsia="仿宋_GB2312" w:cs="仿宋_GB2312"/>
          <w:sz w:val="32"/>
          <w:szCs w:val="32"/>
          <w:lang w:val="en-US" w:eastAsia="zh-CN"/>
        </w:rPr>
        <w:t>年度“双随机、一公开”监管工作实施方案》、《赵县水利局</w:t>
      </w:r>
      <w:r>
        <w:rPr>
          <w:rFonts w:ascii="Times New Roman" w:hAnsi="Times New Roman" w:eastAsia="仿宋_GB2312" w:cs="Times New Roman"/>
          <w:sz w:val="32"/>
          <w:szCs w:val="32"/>
          <w:lang w:val="en-US" w:eastAsia="zh-CN"/>
        </w:rPr>
        <w:t>2025</w:t>
      </w:r>
      <w:r>
        <w:rPr>
          <w:rFonts w:hint="eastAsia" w:ascii="仿宋_GB2312" w:hAnsi="仿宋_GB2312" w:eastAsia="仿宋_GB2312" w:cs="仿宋_GB2312"/>
          <w:sz w:val="32"/>
          <w:szCs w:val="32"/>
          <w:lang w:val="en-US" w:eastAsia="zh-CN"/>
        </w:rPr>
        <w:t>年度随机抽查工作计划》，按计划展开工作，</w:t>
      </w:r>
      <w:r>
        <w:rPr>
          <w:rFonts w:ascii="仿宋_GB2312" w:hAnsi="仿宋_GB2312" w:eastAsia="仿宋_GB2312" w:cs="仿宋_GB2312"/>
          <w:sz w:val="32"/>
          <w:szCs w:val="32"/>
          <w:lang w:val="en-US" w:eastAsia="zh-CN"/>
        </w:rPr>
        <w:t>全年开展联合</w:t>
      </w:r>
      <w:r>
        <w:rPr>
          <w:rFonts w:hint="eastAsia" w:ascii="仿宋_GB2312" w:hAnsi="仿宋_GB2312" w:eastAsia="仿宋_GB2312" w:cs="仿宋_GB2312"/>
          <w:sz w:val="32"/>
          <w:szCs w:val="32"/>
          <w:lang w:val="en-US" w:eastAsia="zh-CN"/>
        </w:rPr>
        <w:t>“</w:t>
      </w:r>
      <w:r>
        <w:rPr>
          <w:rFonts w:ascii="仿宋_GB2312" w:hAnsi="仿宋_GB2312" w:eastAsia="仿宋_GB2312" w:cs="仿宋_GB2312"/>
          <w:sz w:val="32"/>
          <w:szCs w:val="32"/>
          <w:lang w:val="en-US" w:eastAsia="zh-CN"/>
        </w:rPr>
        <w:t>双随机、一公开</w:t>
      </w:r>
      <w:r>
        <w:rPr>
          <w:rFonts w:hint="eastAsia" w:ascii="仿宋_GB2312" w:hAnsi="仿宋_GB2312" w:eastAsia="仿宋_GB2312" w:cs="仿宋_GB2312"/>
          <w:sz w:val="32"/>
          <w:szCs w:val="32"/>
          <w:lang w:val="en-US" w:eastAsia="zh-CN"/>
        </w:rPr>
        <w:t>”</w:t>
      </w:r>
      <w:r>
        <w:rPr>
          <w:rFonts w:ascii="仿宋_GB2312" w:hAnsi="仿宋_GB2312" w:eastAsia="仿宋_GB2312" w:cs="仿宋_GB2312"/>
          <w:sz w:val="32"/>
          <w:szCs w:val="32"/>
          <w:lang w:val="en-US" w:eastAsia="zh-CN"/>
        </w:rPr>
        <w:t>检查1次检查企业20家，未发现涉水违法问题。按省水利厅工作安排，开展内部双随机检查1次，检查企业1家，未发现涉水违法问题。</w:t>
      </w:r>
    </w:p>
    <w:p w14:paraId="71A833EB">
      <w:pPr>
        <w:keepNext w:val="0"/>
        <w:keepLines w:val="0"/>
        <w:pageBreakBefore w:val="0"/>
        <w:kinsoku/>
        <w:wordWrap/>
        <w:overflowPunct/>
        <w:topLinePunct w:val="0"/>
        <w:autoSpaceDE/>
        <w:autoSpaceDN/>
        <w:spacing w:after="0" w:line="600" w:lineRule="exact"/>
        <w:ind w:firstLine="640" w:firstLineChars="200"/>
        <w:jc w:val="both"/>
        <w:rPr>
          <w:rFonts w:hint="eastAsia" w:ascii="仿宋_GB2312" w:hAnsi="仿宋_GB2312" w:eastAsia="仿宋_GB2312" w:cs="仿宋_GB2312"/>
          <w:sz w:val="32"/>
          <w:szCs w:val="32"/>
          <w:lang w:val="en-US" w:eastAsia="zh-CN"/>
        </w:rPr>
      </w:pPr>
      <w:r>
        <w:rPr>
          <w:rFonts w:ascii="楷体_GB2312" w:hAnsi="楷体_GB2312" w:eastAsia="楷体_GB2312" w:cs="楷体_GB2312"/>
          <w:sz w:val="32"/>
          <w:szCs w:val="32"/>
          <w:lang w:val="en-US" w:eastAsia="zh-CN"/>
        </w:rPr>
        <w:t>四</w:t>
      </w:r>
      <w:r>
        <w:rPr>
          <w:rFonts w:hint="eastAsia" w:ascii="楷体_GB2312" w:hAnsi="楷体_GB2312" w:eastAsia="楷体_GB2312" w:cs="楷体_GB2312"/>
          <w:sz w:val="32"/>
          <w:szCs w:val="32"/>
          <w:lang w:val="en-US" w:eastAsia="zh-CN"/>
        </w:rPr>
        <w:t>是加强执法人员管理。</w:t>
      </w:r>
      <w:r>
        <w:rPr>
          <w:rFonts w:hint="eastAsia" w:ascii="仿宋_GB2312" w:hAnsi="仿宋_GB2312" w:eastAsia="仿宋_GB2312" w:cs="仿宋_GB2312"/>
          <w:sz w:val="32"/>
          <w:szCs w:val="32"/>
          <w:lang w:val="en-US" w:eastAsia="zh-CN"/>
        </w:rPr>
        <w:t>严格执行行政执法人员持证上岗制度，建立了执法人员数据库，定期调整更新。组织开展</w:t>
      </w:r>
      <w:r>
        <w:rPr>
          <w:rFonts w:ascii="仿宋_GB2312" w:hAnsi="仿宋_GB2312" w:eastAsia="仿宋_GB2312" w:cs="仿宋_GB2312"/>
          <w:sz w:val="32"/>
          <w:szCs w:val="32"/>
          <w:lang w:val="en-US" w:eastAsia="zh-CN"/>
        </w:rPr>
        <w:t>执法人员学习贯彻习近平法治思想，强化行政执法能力。开展行政执法警示教育，观看了行政执法警示教育片，提高了行政执法人员的法纪意识和执法办案水平。组织全体执法人员进行公共法律培训1次，专业法律培训1次，新办执法证2个。</w:t>
      </w:r>
    </w:p>
    <w:p w14:paraId="662F7ACF">
      <w:pPr>
        <w:keepNext w:val="0"/>
        <w:keepLines w:val="0"/>
        <w:pageBreakBefore w:val="0"/>
        <w:kinsoku/>
        <w:wordWrap/>
        <w:overflowPunct/>
        <w:topLinePunct w:val="0"/>
        <w:autoSpaceDE/>
        <w:autoSpaceDN/>
        <w:spacing w:after="0" w:line="600" w:lineRule="exact"/>
        <w:ind w:firstLine="640" w:firstLineChars="200"/>
        <w:jc w:val="both"/>
        <w:rPr>
          <w:rFonts w:ascii="仿宋_GB2312" w:hAnsi="仿宋_GB2312" w:eastAsia="仿宋_GB2312" w:cs="仿宋_GB2312"/>
          <w:sz w:val="32"/>
          <w:szCs w:val="32"/>
          <w:lang w:val="en-US" w:eastAsia="zh-CN"/>
        </w:rPr>
      </w:pPr>
      <w:r>
        <w:rPr>
          <w:rFonts w:ascii="楷体_GB2312" w:hAnsi="楷体_GB2312" w:eastAsia="楷体_GB2312" w:cs="楷体_GB2312"/>
          <w:sz w:val="32"/>
          <w:szCs w:val="32"/>
          <w:lang w:val="en-US" w:eastAsia="zh-CN"/>
        </w:rPr>
        <w:t>五</w:t>
      </w:r>
      <w:r>
        <w:rPr>
          <w:rFonts w:hint="eastAsia" w:ascii="楷体_GB2312" w:hAnsi="楷体_GB2312" w:eastAsia="楷体_GB2312" w:cs="楷体_GB2312"/>
          <w:sz w:val="32"/>
          <w:szCs w:val="32"/>
          <w:lang w:val="en-US" w:eastAsia="zh-CN"/>
        </w:rPr>
        <w:t>是</w:t>
      </w:r>
      <w:r>
        <w:rPr>
          <w:rFonts w:ascii="楷体_GB2312" w:hAnsi="楷体_GB2312" w:eastAsia="楷体_GB2312" w:cs="楷体_GB2312"/>
          <w:sz w:val="32"/>
          <w:szCs w:val="32"/>
          <w:lang w:val="en-US" w:eastAsia="zh-CN"/>
        </w:rPr>
        <w:t>开展规范涉企行政执法专项行动</w:t>
      </w:r>
      <w:r>
        <w:rPr>
          <w:rFonts w:hint="eastAsia" w:ascii="楷体_GB2312" w:hAnsi="楷体_GB2312" w:eastAsia="楷体_GB2312" w:cs="楷体_GB2312"/>
          <w:sz w:val="32"/>
          <w:szCs w:val="32"/>
          <w:lang w:val="en-US" w:eastAsia="zh-CN"/>
        </w:rPr>
        <w:t>。</w:t>
      </w:r>
      <w:r>
        <w:rPr>
          <w:rFonts w:hint="eastAsia" w:ascii="仿宋_GB2312" w:hAnsi="仿宋_GB2312" w:eastAsia="仿宋_GB2312" w:cs="仿宋_GB2312"/>
          <w:sz w:val="32"/>
          <w:szCs w:val="32"/>
          <w:lang w:val="en-US" w:eastAsia="zh-CN"/>
        </w:rPr>
        <w:t>按照《赵县</w:t>
      </w:r>
      <w:r>
        <w:rPr>
          <w:rFonts w:ascii="仿宋_GB2312" w:hAnsi="仿宋_GB2312" w:eastAsia="仿宋_GB2312" w:cs="仿宋_GB2312"/>
          <w:sz w:val="32"/>
          <w:szCs w:val="32"/>
          <w:lang w:val="en-US" w:eastAsia="zh-CN"/>
        </w:rPr>
        <w:t>规范涉企行政执法专项行动</w:t>
      </w:r>
      <w:r>
        <w:rPr>
          <w:rFonts w:hint="eastAsia" w:ascii="仿宋_GB2312" w:hAnsi="仿宋_GB2312" w:eastAsia="仿宋_GB2312" w:cs="仿宋_GB2312"/>
          <w:sz w:val="32"/>
          <w:szCs w:val="32"/>
          <w:lang w:val="en-US" w:eastAsia="zh-CN"/>
        </w:rPr>
        <w:t>工作方案》要求，</w:t>
      </w:r>
      <w:r>
        <w:rPr>
          <w:rFonts w:ascii="仿宋_GB2312" w:hAnsi="仿宋_GB2312" w:eastAsia="仿宋_GB2312" w:cs="仿宋_GB2312"/>
          <w:sz w:val="32"/>
          <w:szCs w:val="32"/>
          <w:lang w:val="en-US" w:eastAsia="zh-CN"/>
        </w:rPr>
        <w:t>严格落实涉企行政检查、行政处罚、行政强制，实行入企检查全部扫码登记制度，减轻企业负担，促进企业发展。</w:t>
      </w:r>
    </w:p>
    <w:p w14:paraId="1DB68DE6">
      <w:pPr>
        <w:keepNext w:val="0"/>
        <w:keepLines w:val="0"/>
        <w:pageBreakBefore w:val="0"/>
        <w:kinsoku/>
        <w:wordWrap/>
        <w:overflowPunct/>
        <w:topLinePunct w:val="0"/>
        <w:autoSpaceDE/>
        <w:autoSpaceDN/>
        <w:spacing w:after="0" w:line="600" w:lineRule="exact"/>
        <w:ind w:firstLine="640" w:firstLineChars="200"/>
        <w:jc w:val="both"/>
        <w:rPr>
          <w:rFonts w:ascii="仿宋_GB2312" w:hAnsi="仿宋_GB2312" w:eastAsia="仿宋_GB2312" w:cs="仿宋_GB2312"/>
          <w:sz w:val="32"/>
          <w:szCs w:val="32"/>
          <w:lang w:val="en-US" w:eastAsia="zh-CN"/>
        </w:rPr>
      </w:pPr>
      <w:r>
        <w:rPr>
          <w:rFonts w:ascii="楷体_GB2312" w:hAnsi="楷体_GB2312" w:eastAsia="楷体_GB2312" w:cs="楷体_GB2312"/>
          <w:sz w:val="32"/>
          <w:szCs w:val="32"/>
          <w:lang w:val="en-US" w:eastAsia="zh-CN"/>
        </w:rPr>
        <w:t>六</w:t>
      </w:r>
      <w:r>
        <w:rPr>
          <w:rFonts w:hint="eastAsia" w:ascii="楷体_GB2312" w:hAnsi="楷体_GB2312" w:eastAsia="楷体_GB2312" w:cs="楷体_GB2312"/>
          <w:sz w:val="32"/>
          <w:szCs w:val="32"/>
          <w:lang w:val="en-US" w:eastAsia="zh-CN"/>
        </w:rPr>
        <w:t>是开展公平竞争及合法性审查。</w:t>
      </w:r>
      <w:r>
        <w:rPr>
          <w:rFonts w:hint="eastAsia" w:ascii="仿宋_GB2312" w:hAnsi="仿宋_GB2312" w:eastAsia="仿宋_GB2312" w:cs="仿宋_GB2312"/>
          <w:sz w:val="32"/>
          <w:szCs w:val="32"/>
          <w:lang w:val="en-US" w:eastAsia="zh-CN"/>
        </w:rPr>
        <w:t>对预出台的规范性文件及时进行合法性及公平性审查，对不符合要求的规范性文件及时提醒相关股室进行修改。</w:t>
      </w:r>
      <w:r>
        <w:rPr>
          <w:rFonts w:ascii="仿宋_GB2312" w:hAnsi="仿宋_GB2312" w:eastAsia="仿宋_GB2312" w:cs="仿宋_GB2312"/>
          <w:sz w:val="32"/>
          <w:szCs w:val="32"/>
          <w:lang w:val="en-US" w:eastAsia="zh-CN"/>
        </w:rPr>
        <w:t>全年共审查涉及市场经营活动的公平竞争项目招标文件4个。未发现违反公平竞争行为。</w:t>
      </w:r>
    </w:p>
    <w:p w14:paraId="61F36CCC">
      <w:pPr>
        <w:keepNext w:val="0"/>
        <w:keepLines w:val="0"/>
        <w:pageBreakBefore w:val="0"/>
        <w:widowControl w:val="0"/>
        <w:kinsoku/>
        <w:wordWrap/>
        <w:overflowPunct/>
        <w:topLinePunct w:val="0"/>
        <w:autoSpaceDE/>
        <w:autoSpaceDN/>
        <w:adjustRightInd/>
        <w:snapToGrid/>
        <w:spacing w:after="0" w:line="600" w:lineRule="exact"/>
        <w:ind w:firstLine="640" w:firstLineChars="200"/>
        <w:jc w:val="both"/>
        <w:rPr>
          <w:rFonts w:ascii="仿宋_GB2312" w:hAnsi="仿宋_GB2312" w:eastAsia="仿宋_GB2312" w:cs="仿宋_GB2312"/>
          <w:sz w:val="32"/>
          <w:szCs w:val="32"/>
          <w:lang w:val="en-US" w:eastAsia="zh-CN"/>
        </w:rPr>
      </w:pPr>
      <w:r>
        <w:rPr>
          <w:rFonts w:ascii="楷体_GB2312" w:hAnsi="仿宋_GB2312" w:eastAsia="楷体_GB2312" w:cs="楷体_GB2312"/>
          <w:sz w:val="32"/>
          <w:szCs w:val="32"/>
          <w:lang w:val="en-US" w:eastAsia="zh-CN"/>
        </w:rPr>
        <w:t>七</w:t>
      </w:r>
      <w:r>
        <w:rPr>
          <w:rFonts w:hint="eastAsia" w:ascii="楷体_GB2312" w:hAnsi="仿宋_GB2312" w:eastAsia="楷体_GB2312" w:cs="楷体_GB2312"/>
          <w:sz w:val="32"/>
          <w:szCs w:val="32"/>
          <w:lang w:val="en-US" w:eastAsia="zh-CN"/>
        </w:rPr>
        <w:t>是加强日常监管</w:t>
      </w:r>
      <w:r>
        <w:rPr>
          <w:rFonts w:ascii="楷体_GB2312" w:hAnsi="仿宋_GB2312" w:eastAsia="楷体_GB2312" w:cs="楷体_GB2312"/>
          <w:sz w:val="32"/>
          <w:szCs w:val="32"/>
          <w:lang w:val="en-US" w:eastAsia="zh-CN"/>
        </w:rPr>
        <w:t>。</w:t>
      </w:r>
      <w:r>
        <w:rPr>
          <w:rFonts w:hint="eastAsia" w:ascii="仿宋_GB2312" w:hAnsi="仿宋_GB2312" w:eastAsia="仿宋_GB2312" w:cs="仿宋_GB2312"/>
          <w:sz w:val="32"/>
          <w:szCs w:val="32"/>
          <w:lang w:val="en-US" w:eastAsia="zh-CN"/>
        </w:rPr>
        <w:t>重点对水资源管理、河道非法采砂、水土保持等工作进行重点监管，对日常监管发现的涉水违法行为</w:t>
      </w:r>
      <w:r>
        <w:rPr>
          <w:rFonts w:ascii="仿宋_GB2312" w:hAnsi="仿宋_GB2312" w:eastAsia="仿宋_GB2312" w:cs="仿宋_GB2312"/>
          <w:sz w:val="32"/>
          <w:szCs w:val="32"/>
          <w:lang w:val="en-US" w:eastAsia="zh-CN"/>
        </w:rPr>
        <w:t>及时进行查处，今年没有发现涉水违法行为，没有涉水处罚案件、行政强制案件。</w:t>
      </w:r>
    </w:p>
    <w:p w14:paraId="690E0AFA">
      <w:pPr>
        <w:keepNext w:val="0"/>
        <w:keepLines w:val="0"/>
        <w:pageBreakBefore w:val="0"/>
        <w:kinsoku/>
        <w:wordWrap/>
        <w:overflowPunct/>
        <w:topLinePunct w:val="0"/>
        <w:autoSpaceDE/>
        <w:autoSpaceDN/>
        <w:spacing w:after="0" w:line="600" w:lineRule="exact"/>
        <w:ind w:firstLine="640" w:firstLineChars="200"/>
        <w:jc w:val="both"/>
        <w:rPr>
          <w:rFonts w:hint="eastAsia" w:ascii="仿宋_GB2312" w:hAnsi="仿宋_GB2312" w:eastAsia="仿宋_GB2312" w:cs="仿宋_GB2312"/>
          <w:sz w:val="32"/>
          <w:szCs w:val="32"/>
        </w:rPr>
      </w:pPr>
      <w:r>
        <w:rPr>
          <w:rFonts w:ascii="楷体_GB2312" w:hAnsi="楷体_GB2312" w:eastAsia="楷体_GB2312" w:cs="楷体_GB2312"/>
          <w:sz w:val="32"/>
          <w:szCs w:val="32"/>
          <w:lang w:val="en-US" w:eastAsia="zh-CN"/>
        </w:rPr>
        <w:t>八</w:t>
      </w:r>
      <w:r>
        <w:rPr>
          <w:rFonts w:hint="eastAsia" w:ascii="楷体_GB2312" w:hAnsi="楷体_GB2312" w:eastAsia="楷体_GB2312" w:cs="楷体_GB2312"/>
          <w:sz w:val="32"/>
          <w:szCs w:val="32"/>
          <w:lang w:val="en-US" w:eastAsia="zh-CN"/>
        </w:rPr>
        <w:t>是</w:t>
      </w:r>
      <w:r>
        <w:rPr>
          <w:rFonts w:ascii="楷体_GB2312" w:hAnsi="楷体_GB2312" w:eastAsia="楷体_GB2312" w:cs="楷体_GB2312"/>
          <w:sz w:val="32"/>
          <w:szCs w:val="32"/>
        </w:rPr>
        <w:t>加强普法宣传</w:t>
      </w:r>
      <w:r>
        <w:rPr>
          <w:rFonts w:hint="eastAsia" w:ascii="楷体_GB2312" w:hAnsi="楷体_GB2312" w:eastAsia="楷体_GB2312" w:cs="楷体_GB2312"/>
          <w:sz w:val="32"/>
          <w:szCs w:val="32"/>
        </w:rPr>
        <w:t>。</w:t>
      </w:r>
      <w:r>
        <w:rPr>
          <w:rFonts w:hint="eastAsia" w:ascii="仿宋_GB2312" w:hAnsi="仿宋_GB2312" w:eastAsia="仿宋_GB2312" w:cs="仿宋_GB2312"/>
          <w:sz w:val="32"/>
          <w:szCs w:val="32"/>
          <w:lang w:val="en-US" w:eastAsia="zh-CN"/>
        </w:rPr>
        <w:t>在“世界水日”和“中国水周”宣传以及水行政执法人员进企业执法的同时，积极向广大群众和企业负责人宣传习近平法治思想和习近平总书记关于依法治水的重要论述，提高全民法治观念。重点宣传了《节约用水条例》、</w:t>
      </w:r>
      <w:r>
        <w:rPr>
          <w:rFonts w:hint="eastAsia" w:ascii="仿宋_GB2312" w:hAnsi="仿宋_GB2312" w:eastAsia="仿宋_GB2312" w:cs="仿宋_GB2312"/>
          <w:sz w:val="32"/>
          <w:szCs w:val="32"/>
        </w:rPr>
        <w:t>《河北省防汛避险人员转移条例》、《河北省安全生产条例》、《中</w:t>
      </w:r>
      <w:r>
        <w:rPr>
          <w:rFonts w:hint="eastAsia" w:ascii="仿宋_GB2312" w:hAnsi="仿宋_GB2312" w:eastAsia="仿宋_GB2312" w:cs="仿宋_GB2312"/>
          <w:sz w:val="32"/>
          <w:szCs w:val="32"/>
          <w:lang w:eastAsia="zh-CN"/>
        </w:rPr>
        <w:t>华</w:t>
      </w:r>
      <w:r>
        <w:rPr>
          <w:rFonts w:hint="eastAsia" w:ascii="仿宋_GB2312" w:hAnsi="仿宋_GB2312" w:eastAsia="仿宋_GB2312" w:cs="仿宋_GB2312"/>
          <w:sz w:val="32"/>
          <w:szCs w:val="32"/>
        </w:rPr>
        <w:t>人民共和国宪法》等法律法规。</w:t>
      </w:r>
      <w:bookmarkStart w:id="0" w:name="_GoBack"/>
      <w:bookmarkEnd w:id="0"/>
    </w:p>
    <w:p w14:paraId="2721D8D0">
      <w:pPr>
        <w:keepNext w:val="0"/>
        <w:keepLines w:val="0"/>
        <w:pageBreakBefore w:val="0"/>
        <w:kinsoku/>
        <w:wordWrap/>
        <w:overflowPunct/>
        <w:topLinePunct w:val="0"/>
        <w:autoSpaceDE/>
        <w:autoSpaceDN/>
        <w:bidi w:val="0"/>
        <w:spacing w:after="0"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楷体_GB2312" w:hAnsi="楷体_GB2312" w:eastAsia="楷体_GB2312" w:cs="楷体_GB2312"/>
          <w:sz w:val="32"/>
          <w:szCs w:val="32"/>
          <w:lang w:val="en-US" w:eastAsia="zh-CN"/>
        </w:rPr>
        <w:t>九</w:t>
      </w:r>
      <w:r>
        <w:rPr>
          <w:rFonts w:hint="eastAsia" w:ascii="楷体_GB2312" w:hAnsi="楷体_GB2312" w:eastAsia="楷体_GB2312" w:cs="楷体_GB2312"/>
          <w:sz w:val="32"/>
          <w:szCs w:val="32"/>
          <w:lang w:val="en-US" w:eastAsia="zh-CN"/>
        </w:rPr>
        <w:t>是立足本职工作，促进司法公正</w:t>
      </w:r>
      <w:r>
        <w:rPr>
          <w:rFonts w:hint="eastAsia" w:ascii="仿宋_GB2312" w:hAnsi="仿宋_GB2312" w:eastAsia="仿宋_GB2312" w:cs="仿宋_GB2312"/>
          <w:sz w:val="32"/>
          <w:szCs w:val="32"/>
          <w:lang w:val="en-US" w:eastAsia="zh-CN"/>
        </w:rPr>
        <w:t>。严格执行行政执法人员证件管理有关规定，对2名具有执法资格的人员执法证件进行了年检，认真落实行政机关负责人出庭应诉制度，积极配合检察、监察、审计等部门开展监督工作。同时，为确保水利工作顺利发展，聘请了专业律师为水行政执法提供法律咨询、援助等服务。</w:t>
      </w:r>
    </w:p>
    <w:p w14:paraId="7BE4628C">
      <w:pPr>
        <w:keepNext w:val="0"/>
        <w:keepLines w:val="0"/>
        <w:pageBreakBefore w:val="0"/>
        <w:kinsoku/>
        <w:wordWrap/>
        <w:overflowPunct/>
        <w:topLinePunct w:val="0"/>
        <w:autoSpaceDE/>
        <w:autoSpaceDN/>
        <w:bidi w:val="0"/>
        <w:spacing w:after="0" w:line="600" w:lineRule="exact"/>
        <w:ind w:firstLine="640" w:firstLineChars="200"/>
        <w:jc w:val="both"/>
        <w:textAlignment w:val="auto"/>
        <w:rPr>
          <w:rFonts w:ascii="仿宋_GB2312" w:hAnsi="仿宋_GB2312" w:eastAsia="仿宋_GB2312" w:cs="仿宋_GB2312"/>
          <w:sz w:val="32"/>
          <w:szCs w:val="32"/>
        </w:rPr>
      </w:pPr>
      <w:r>
        <w:rPr>
          <w:rFonts w:ascii="楷体_GB2312" w:hAnsi="楷体_GB2312" w:eastAsia="楷体_GB2312" w:cs="楷体_GB2312"/>
          <w:sz w:val="32"/>
          <w:szCs w:val="32"/>
        </w:rPr>
        <w:t>十</w:t>
      </w:r>
      <w:r>
        <w:rPr>
          <w:rFonts w:hint="eastAsia" w:ascii="楷体_GB2312" w:hAnsi="楷体_GB2312" w:eastAsia="楷体_GB2312" w:cs="楷体_GB2312"/>
          <w:sz w:val="32"/>
          <w:szCs w:val="32"/>
        </w:rPr>
        <w:t>是加强依法行政保障。</w:t>
      </w:r>
      <w:r>
        <w:rPr>
          <w:rFonts w:hint="eastAsia" w:ascii="仿宋_GB2312" w:hAnsi="仿宋_GB2312" w:eastAsia="仿宋_GB2312" w:cs="仿宋_GB2312"/>
          <w:sz w:val="32"/>
          <w:szCs w:val="32"/>
        </w:rPr>
        <w:t>为确保水行政执法顺利开展，</w:t>
      </w:r>
      <w:r>
        <w:rPr>
          <w:rFonts w:ascii="仿宋_GB2312" w:hAnsi="仿宋_GB2312" w:eastAsia="仿宋_GB2312" w:cs="仿宋_GB2312"/>
          <w:sz w:val="32"/>
          <w:szCs w:val="32"/>
        </w:rPr>
        <w:t>及时更新了水行政执法领导小组成员，为执法人员配备了无人机、照相机、录音笔、执法记录仪等设备，同时加强人员法律知识培训，保障了水行政执法顺利开展。</w:t>
      </w:r>
    </w:p>
    <w:p w14:paraId="221E75D9">
      <w:pPr>
        <w:keepNext w:val="0"/>
        <w:keepLines w:val="0"/>
        <w:pageBreakBefore w:val="0"/>
        <w:widowControl w:val="0"/>
        <w:kinsoku/>
        <w:wordWrap/>
        <w:overflowPunct/>
        <w:topLinePunct w:val="0"/>
        <w:autoSpaceDE/>
        <w:autoSpaceDN/>
        <w:adjustRightInd/>
        <w:snapToGrid/>
        <w:spacing w:after="0" w:line="600" w:lineRule="exact"/>
        <w:ind w:firstLine="640" w:firstLineChars="200"/>
        <w:jc w:val="both"/>
        <w:rPr>
          <w:rFonts w:hint="eastAsia" w:ascii="仿宋_GB2312" w:hAnsi="仿宋_GB2312" w:eastAsia="仿宋_GB2312" w:cs="仿宋_GB2312"/>
          <w:sz w:val="32"/>
          <w:szCs w:val="32"/>
        </w:rPr>
      </w:pPr>
      <w:r>
        <w:rPr>
          <w:rFonts w:hint="eastAsia" w:ascii="黑体" w:hAnsi="黑体" w:eastAsia="黑体" w:cs="黑体"/>
          <w:sz w:val="32"/>
          <w:szCs w:val="32"/>
          <w:lang w:val="en-US" w:eastAsia="zh-CN"/>
        </w:rPr>
        <w:t>二、下一步工作计划</w:t>
      </w:r>
    </w:p>
    <w:p w14:paraId="168E143E">
      <w:pPr>
        <w:keepNext w:val="0"/>
        <w:keepLines w:val="0"/>
        <w:pageBreakBefore w:val="0"/>
        <w:widowControl w:val="0"/>
        <w:kinsoku/>
        <w:wordWrap/>
        <w:overflowPunct/>
        <w:topLinePunct w:val="0"/>
        <w:autoSpaceDE/>
        <w:autoSpaceDN/>
        <w:bidi w:val="0"/>
        <w:adjustRightInd/>
        <w:snapToGrid/>
        <w:spacing w:after="0" w:line="600" w:lineRule="exact"/>
        <w:ind w:left="0" w:firstLine="640" w:firstLineChars="200"/>
        <w:jc w:val="both"/>
        <w:textAlignment w:val="auto"/>
        <w:rPr>
          <w:rFonts w:ascii="仿宋_GB2312" w:hAnsi="仿宋_GB2312" w:eastAsia="仿宋_GB2312" w:cs="仿宋_GB2312"/>
          <w:sz w:val="32"/>
          <w:szCs w:val="32"/>
          <w:lang w:val="en-US" w:eastAsia="zh-CN"/>
        </w:rPr>
      </w:pPr>
      <w:r>
        <w:rPr>
          <w:rFonts w:ascii="仿宋_GB2312" w:hAnsi="仿宋_GB2312" w:eastAsia="仿宋_GB2312" w:cs="仿宋_GB2312"/>
          <w:sz w:val="32"/>
          <w:szCs w:val="32"/>
          <w:lang w:val="en-US" w:eastAsia="zh-CN"/>
        </w:rPr>
        <w:t>下一步我们将继续坚持以习近平新时代中国特色社会主义思想和党的二十届四中全会精神为重要指引，认真学习</w:t>
      </w:r>
      <w:r>
        <w:rPr>
          <w:rFonts w:hint="eastAsia" w:ascii="仿宋_GB2312" w:hAnsi="仿宋_GB2312" w:eastAsia="仿宋_GB2312" w:cs="仿宋_GB2312"/>
          <w:sz w:val="32"/>
          <w:szCs w:val="32"/>
          <w:lang w:val="en-US" w:eastAsia="zh-CN"/>
        </w:rPr>
        <w:t>习近平法治思想和</w:t>
      </w:r>
      <w:r>
        <w:rPr>
          <w:rFonts w:ascii="仿宋_GB2312" w:hAnsi="仿宋_GB2312" w:eastAsia="仿宋_GB2312" w:cs="仿宋_GB2312"/>
          <w:sz w:val="32"/>
          <w:szCs w:val="32"/>
          <w:lang w:val="en-US" w:eastAsia="zh-CN"/>
        </w:rPr>
        <w:t>涉水法律法规，强化部门之间联合工作力度，进一步拓宽宣传渠道，加大宣传力度，营造学法用法浓厚氛围，严格依法办事，文明法治，为推进我县水利事业的现代化发展保驾护航。</w:t>
      </w:r>
    </w:p>
    <w:p w14:paraId="4AC55AF9">
      <w:pPr>
        <w:keepNext w:val="0"/>
        <w:keepLines w:val="0"/>
        <w:pageBreakBefore w:val="0"/>
        <w:widowControl w:val="0"/>
        <w:kinsoku/>
        <w:wordWrap/>
        <w:overflowPunct/>
        <w:topLinePunct w:val="0"/>
        <w:autoSpaceDE/>
        <w:autoSpaceDN/>
        <w:bidi w:val="0"/>
        <w:adjustRightInd/>
        <w:snapToGrid/>
        <w:spacing w:after="0" w:line="600" w:lineRule="exact"/>
        <w:ind w:left="0" w:firstLine="640" w:firstLineChars="200"/>
        <w:jc w:val="both"/>
        <w:textAlignment w:val="auto"/>
        <w:rPr>
          <w:rFonts w:ascii="仿宋_GB2312" w:hAnsi="仿宋_GB2312" w:eastAsia="仿宋_GB2312" w:cs="仿宋_GB2312"/>
          <w:sz w:val="32"/>
          <w:szCs w:val="32"/>
          <w:lang w:val="en-US" w:eastAsia="zh-CN"/>
        </w:rPr>
      </w:pPr>
    </w:p>
    <w:p w14:paraId="2810E0A7">
      <w:pPr>
        <w:keepNext w:val="0"/>
        <w:keepLines w:val="0"/>
        <w:pageBreakBefore w:val="0"/>
        <w:widowControl w:val="0"/>
        <w:kinsoku/>
        <w:wordWrap/>
        <w:overflowPunct/>
        <w:topLinePunct w:val="0"/>
        <w:autoSpaceDE/>
        <w:autoSpaceDN/>
        <w:bidi w:val="0"/>
        <w:adjustRightInd/>
        <w:snapToGrid/>
        <w:spacing w:after="0" w:line="600" w:lineRule="exact"/>
        <w:ind w:left="0" w:firstLine="640" w:firstLineChars="200"/>
        <w:jc w:val="both"/>
        <w:textAlignment w:val="auto"/>
        <w:rPr>
          <w:rFonts w:ascii="仿宋_GB2312" w:hAnsi="仿宋_GB2312" w:eastAsia="仿宋_GB2312" w:cs="仿宋_GB2312"/>
          <w:sz w:val="32"/>
          <w:szCs w:val="32"/>
          <w:lang w:val="en-US" w:eastAsia="zh-CN"/>
        </w:rPr>
      </w:pPr>
    </w:p>
    <w:p w14:paraId="303BB697">
      <w:pPr>
        <w:keepNext w:val="0"/>
        <w:keepLines w:val="0"/>
        <w:pageBreakBefore w:val="0"/>
        <w:widowControl w:val="0"/>
        <w:kinsoku/>
        <w:wordWrap/>
        <w:overflowPunct/>
        <w:topLinePunct w:val="0"/>
        <w:autoSpaceDE/>
        <w:autoSpaceDN/>
        <w:bidi w:val="0"/>
        <w:adjustRightInd/>
        <w:snapToGrid/>
        <w:spacing w:after="0" w:line="600" w:lineRule="exact"/>
        <w:ind w:left="0" w:firstLine="5440" w:firstLineChars="17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赵县水利局</w:t>
      </w:r>
    </w:p>
    <w:p w14:paraId="02579878">
      <w:pPr>
        <w:keepNext w:val="0"/>
        <w:keepLines w:val="0"/>
        <w:pageBreakBefore w:val="0"/>
        <w:widowControl w:val="0"/>
        <w:kinsoku/>
        <w:wordWrap/>
        <w:overflowPunct/>
        <w:topLinePunct w:val="0"/>
        <w:autoSpaceDE/>
        <w:autoSpaceDN/>
        <w:bidi w:val="0"/>
        <w:adjustRightInd/>
        <w:snapToGrid/>
        <w:spacing w:after="0" w:line="600" w:lineRule="exact"/>
        <w:ind w:firstLine="5120" w:firstLineChars="1600"/>
        <w:jc w:val="both"/>
        <w:textAlignment w:val="auto"/>
        <w:rPr>
          <w:rFonts w:hint="eastAsia" w:ascii="仿宋_GB2312" w:hAnsi="仿宋_GB2312" w:eastAsia="仿宋_GB2312" w:cs="仿宋_GB2312"/>
          <w:sz w:val="32"/>
          <w:szCs w:val="32"/>
          <w:lang w:val="en-US" w:eastAsia="zh-CN"/>
        </w:rPr>
      </w:pPr>
      <w:r>
        <w:rPr>
          <w:rFonts w:ascii="Times New Roman" w:hAnsi="Times New Roman" w:eastAsia="仿宋_GB2312" w:cs="Times New Roman"/>
          <w:sz w:val="32"/>
          <w:szCs w:val="32"/>
          <w:lang w:val="en-US" w:eastAsia="zh-CN"/>
        </w:rPr>
        <w:t>2026</w:t>
      </w:r>
      <w:r>
        <w:rPr>
          <w:rFonts w:hint="eastAsia" w:ascii="仿宋_GB2312" w:hAnsi="仿宋_GB2312" w:eastAsia="仿宋_GB2312" w:cs="仿宋_GB2312"/>
          <w:sz w:val="32"/>
          <w:szCs w:val="32"/>
          <w:lang w:val="en-US" w:eastAsia="zh-CN"/>
        </w:rPr>
        <w:t>年</w:t>
      </w:r>
      <w:r>
        <w:rPr>
          <w:rFonts w:ascii="Times New Roman" w:hAnsi="Times New Roman" w:eastAsia="仿宋_GB2312" w:cs="Times New Roman"/>
          <w:sz w:val="32"/>
          <w:szCs w:val="32"/>
          <w:lang w:val="en-US" w:eastAsia="zh-CN"/>
        </w:rPr>
        <w:t>1</w:t>
      </w:r>
      <w:r>
        <w:rPr>
          <w:rFonts w:hint="eastAsia" w:ascii="仿宋_GB2312" w:hAnsi="仿宋_GB2312" w:eastAsia="仿宋_GB2312" w:cs="仿宋_GB2312"/>
          <w:sz w:val="32"/>
          <w:szCs w:val="32"/>
          <w:lang w:val="en-US" w:eastAsia="zh-CN"/>
        </w:rPr>
        <w:t>月</w:t>
      </w:r>
      <w:r>
        <w:rPr>
          <w:rFonts w:ascii="Times New Roman" w:hAnsi="Times New Roman" w:eastAsia="仿宋_GB2312" w:cs="Times New Roman"/>
          <w:sz w:val="32"/>
          <w:szCs w:val="32"/>
          <w:lang w:val="en-US" w:eastAsia="zh-CN"/>
        </w:rPr>
        <w:t>9</w:t>
      </w:r>
      <w:r>
        <w:rPr>
          <w:rFonts w:hint="eastAsia" w:ascii="仿宋_GB2312" w:hAnsi="仿宋_GB2312" w:eastAsia="仿宋_GB2312" w:cs="仿宋_GB2312"/>
          <w:sz w:val="32"/>
          <w:szCs w:val="32"/>
          <w:lang w:val="en-US" w:eastAsia="zh-CN"/>
        </w:rPr>
        <w:t>日</w:t>
      </w:r>
    </w:p>
    <w:p w14:paraId="5DC72AC1">
      <w:pPr>
        <w:spacing w:line="220" w:lineRule="atLeast"/>
        <w:jc w:val="both"/>
        <w:rPr>
          <w:lang w:val="en-US" w:eastAsia="zh-CN"/>
        </w:rPr>
      </w:pPr>
    </w:p>
    <w:sectPr>
      <w:footerReference r:id="rId5" w:type="default"/>
      <w:pgSz w:w="11906" w:h="16838"/>
      <w:pgMar w:top="1440" w:right="1800" w:bottom="1440" w:left="1800" w:header="708" w:footer="708"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swiss"/>
    <w:pitch w:val="default"/>
    <w:sig w:usb0="80000287" w:usb1="280F3C52" w:usb2="00000016" w:usb3="00000000" w:csb0="0004001F"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00000001" w:usb1="080E0000" w:usb2="00000000" w:usb3="00000000" w:csb0="00040000" w:csb1="00000000"/>
  </w:font>
  <w:font w:name="方正仿宋简体">
    <w:panose1 w:val="02000000000000000000"/>
    <w:charset w:val="86"/>
    <w:family w:val="script"/>
    <w:pitch w:val="default"/>
    <w:sig w:usb0="A00002BF" w:usb1="184F6CFA" w:usb2="00000012"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C60476">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88900" cy="357505"/>
              <wp:effectExtent l="0" t="0" r="0" b="0"/>
              <wp:wrapNone/>
              <wp:docPr id="2050" name="_x0000_s2050"/>
              <wp:cNvGraphicFramePr/>
              <a:graphic xmlns:a="http://schemas.openxmlformats.org/drawingml/2006/main">
                <a:graphicData uri="http://schemas.microsoft.com/office/word/2010/wordprocessingShape">
                  <wps:wsp>
                    <wps:cNvSpPr/>
                    <wps:spPr>
                      <a:xfrm>
                        <a:off x="0" y="0"/>
                        <a:ext cx="88899" cy="357584"/>
                      </a:xfrm>
                      <a:prstGeom prst="rect">
                        <a:avLst/>
                      </a:prstGeom>
                      <a:noFill/>
                      <a:ln w="9525" cap="flat" cmpd="sng">
                        <a:noFill/>
                        <a:prstDash val="solid"/>
                        <a:miter/>
                      </a:ln>
                    </wps:spPr>
                    <wps:txbx>
                      <w:txbxContent>
                        <w:p w14:paraId="1A5BA1AC">
                          <w:pPr>
                            <w:pStyle w:val="5"/>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p>
                      </w:txbxContent>
                    </wps:txbx>
                    <wps:bodyPr vert="horz" wrap="none" lIns="0" tIns="0" rIns="0" bIns="0" anchor="t" anchorCtr="0" upright="1">
                      <a:spAutoFit/>
                    </wps:bodyPr>
                  </wps:wsp>
                </a:graphicData>
              </a:graphic>
            </wp:anchor>
          </w:drawing>
        </mc:Choice>
        <mc:Fallback>
          <w:pict>
            <v:rect id="_x0000_s2050" o:spid="_x0000_s1026" o:spt="1" style="position:absolute;left:0pt;margin-top:0pt;height:28.15pt;width:7pt;mso-position-horizontal:outside;mso-position-horizontal-relative:margin;mso-wrap-style:none;z-index:251659264;mso-width-relative:page;mso-height-relative:page;" filled="f" stroked="f" coordsize="21600,21600" o:gfxdata="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IauiqPRAAAAAwEAAA8AAAAAAAAAAQAgAAAAIgAAAGRycy9kb3ducmV2LnhtbFBLAQIUABQA&#10;AAAIAIdO4kAq04CF9wEAAPcDAAAOAAAAAAAAAAEAIAAAACABAABkcnMvZTJvRG9jLnhtbFBLBQYA&#10;AAAABgAGAFkBAACJBQAAAAA=&#10;">
              <v:fill on="f" focussize="0,0"/>
              <v:stroke on="f" joinstyle="miter"/>
              <v:imagedata o:title=""/>
              <o:lock v:ext="edit" aspectratio="f"/>
              <v:textbox inset="0mm,0mm,0mm,0mm" style="mso-fit-shape-to-text:t;">
                <w:txbxContent>
                  <w:p w14:paraId="1A5BA1AC">
                    <w:pPr>
                      <w:pStyle w:val="5"/>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p>
                </w:txbxContent>
              </v:textbox>
            </v: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720"/>
  <w:drawingGridHorizontalSpacing w:val="110"/>
  <w:drawingGridVerticalSpacing w:val="156"/>
  <w:displayHorizontalDrawingGridEvery w:val="0"/>
  <w:displayVerticalDrawingGridEvery w:val="1"/>
  <w:footnotePr>
    <w:footnote w:id="0"/>
    <w:footnote w:id="1"/>
  </w:footnotePr>
  <w:endnotePr>
    <w:endnote w:id="0"/>
    <w:endnote w:id="1"/>
  </w:endnotePr>
  <w:compat>
    <w:useFELayout/>
    <w:compatSetting w:name="compatibilityMode" w:uri="http://schemas.microsoft.com/office/word" w:val="12"/>
  </w:compat>
  <w:rsids>
    <w:rsidRoot w:val="00000000"/>
    <w:rsid w:val="29060DC7"/>
    <w:rsid w:val="30570D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adjustRightInd w:val="0"/>
      <w:snapToGrid w:val="0"/>
      <w:spacing w:after="200" w:line="240" w:lineRule="auto"/>
    </w:pPr>
    <w:rPr>
      <w:rFonts w:ascii="Tahoma" w:hAnsi="Tahoma" w:eastAsia="微软雅黑" w:cs="Arial"/>
      <w:sz w:val="22"/>
      <w:szCs w:val="22"/>
      <w:lang w:val="en-US" w:eastAsia="zh-CN" w:bidi="ar-SA"/>
    </w:rPr>
  </w:style>
  <w:style w:type="paragraph" w:styleId="2">
    <w:name w:val="heading 1"/>
    <w:basedOn w:val="1"/>
    <w:next w:val="1"/>
    <w:link w:val="9"/>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10"/>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11"/>
    <w:qFormat/>
    <w:uiPriority w:val="0"/>
    <w:pPr>
      <w:keepNext/>
      <w:keepLines/>
      <w:spacing w:before="260" w:after="260" w:line="415" w:lineRule="auto"/>
      <w:outlineLvl w:val="2"/>
    </w:pPr>
    <w:rPr>
      <w:b/>
      <w:bCs/>
      <w:sz w:val="32"/>
      <w:szCs w:val="32"/>
    </w:rPr>
  </w:style>
  <w:style w:type="character" w:default="1" w:styleId="8">
    <w:name w:val="Default Paragraph Font"/>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5">
    <w:name w:val="footer"/>
    <w:basedOn w:val="1"/>
    <w:qFormat/>
    <w:uiPriority w:val="0"/>
    <w:pPr>
      <w:tabs>
        <w:tab w:val="center" w:pos="4153"/>
        <w:tab w:val="right" w:pos="8306"/>
      </w:tabs>
      <w:adjustRightInd w:val="0"/>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adjustRightInd w:val="0"/>
      <w:snapToGrid w:val="0"/>
      <w:spacing w:line="240" w:lineRule="auto"/>
      <w:jc w:val="both"/>
      <w:outlineLvl w:val="9"/>
    </w:pPr>
    <w:rPr>
      <w:sz w:val="18"/>
    </w:rPr>
  </w:style>
  <w:style w:type="character" w:customStyle="1" w:styleId="9">
    <w:name w:val="heading 1 Char"/>
    <w:basedOn w:val="8"/>
    <w:link w:val="2"/>
    <w:qFormat/>
    <w:uiPriority w:val="0"/>
    <w:rPr>
      <w:rFonts w:ascii="Tahoma" w:hAnsi="Tahoma" w:eastAsia="微软雅黑" w:cs="Arial"/>
      <w:b/>
      <w:bCs/>
      <w:kern w:val="44"/>
      <w:sz w:val="44"/>
      <w:szCs w:val="44"/>
      <w:lang w:val="en-US" w:eastAsia="zh-CN" w:bidi="ar-SA"/>
    </w:rPr>
  </w:style>
  <w:style w:type="character" w:customStyle="1" w:styleId="10">
    <w:name w:val="heading 2 Char"/>
    <w:basedOn w:val="8"/>
    <w:link w:val="3"/>
    <w:qFormat/>
    <w:uiPriority w:val="0"/>
    <w:rPr>
      <w:rFonts w:ascii="Times New Roman" w:hAnsi="Times New Roman" w:eastAsia="黑体" w:cs="Arial"/>
      <w:b/>
      <w:bCs/>
      <w:sz w:val="32"/>
      <w:szCs w:val="32"/>
      <w:lang w:val="en-US" w:eastAsia="zh-CN" w:bidi="ar-SA"/>
    </w:rPr>
  </w:style>
  <w:style w:type="character" w:customStyle="1" w:styleId="11">
    <w:name w:val="heading 3 Char"/>
    <w:basedOn w:val="8"/>
    <w:link w:val="4"/>
    <w:qFormat/>
    <w:uiPriority w:val="0"/>
    <w:rPr>
      <w:rFonts w:ascii="Tahoma" w:hAnsi="Tahoma" w:eastAsia="微软雅黑" w:cs="Arial"/>
      <w:b/>
      <w:bCs/>
      <w:sz w:val="32"/>
      <w:szCs w:val="32"/>
      <w:lang w:val="en-US" w:eastAsia="zh-CN" w:bidi="ar-SA"/>
    </w:rPr>
  </w:style>
  <w:style w:type="paragraph" w:customStyle="1" w:styleId="12">
    <w:name w:val="Normal Indent"/>
    <w:basedOn w:val="1"/>
    <w:qFormat/>
    <w:uiPriority w:val="0"/>
    <w:pPr>
      <w:ind w:firstLine="200" w:firstLineChars="200"/>
    </w:pPr>
    <w:rPr>
      <w:rFonts w:ascii="仿宋_GB2312" w:hAnsi="仿宋_GB2312"/>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主题">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50000" r="50000" b="5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2.xml><?xml version="1.0" encoding="utf-8"?>
<customData xmlns="http://www.yozosoft.com.cn/officeDocument/2016/customData">
  <customProps>
    <docPr revisions="3 0 5 0 0 0 1 0 0 0 3678 0 1 1 1 1"/>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E79DCF5-C980-4F5E-A452-95D59E257D44}">
  <ds:schemaRefs/>
</ds:datastoreItem>
</file>

<file path=docProps/app.xml><?xml version="1.0" encoding="utf-8"?>
<Properties xmlns="http://schemas.openxmlformats.org/officeDocument/2006/extended-properties" xmlns:vt="http://schemas.openxmlformats.org/officeDocument/2006/docPropsVTypes">
  <Template>Normal.eit</Template>
  <Pages>4</Pages>
  <Words>0</Words>
  <Characters>1378</Characters>
  <Lines>0</Lines>
  <Paragraphs>24</Paragraphs>
  <TotalTime>195</TotalTime>
  <ScaleCrop>false</ScaleCrop>
  <LinksUpToDate>false</LinksUpToDate>
  <CharactersWithSpaces>1838</CharactersWithSpaces>
  <Application>WPS Office_12.1.0.24657_F1E327BC-269C-435d-A152-05C5408002CA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2008-09-11T17:20:00Z</dcterms:created>
  <dc:creator>Administrator</dc:creator>
  <cp:lastModifiedBy>Administrator</cp:lastModifiedBy>
  <cp:lastPrinted>2026-01-09T03:18:00Z</cp:lastPrinted>
  <dcterms:modified xsi:type="dcterms:W3CDTF">2026-01-22T09:43:59Z</dcterms:modified>
  <cp:revision>43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28132B3ECB914B739069A6A1AB80B909</vt:lpwstr>
  </property>
</Properties>
</file>