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87E751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675" w:lineRule="atLeast"/>
        <w:ind w:left="0" w:right="0" w:firstLine="0"/>
        <w:jc w:val="center"/>
        <w:rPr>
          <w:rFonts w:ascii="微软雅黑" w:hAnsi="微软雅黑" w:eastAsia="微软雅黑" w:cs="微软雅黑"/>
          <w:b/>
          <w:bCs/>
          <w:i w:val="0"/>
          <w:iCs w:val="0"/>
          <w:caps w:val="0"/>
          <w:color w:val="333333"/>
          <w:spacing w:val="0"/>
          <w:sz w:val="36"/>
          <w:szCs w:val="36"/>
        </w:rPr>
      </w:pPr>
      <w:r>
        <w:rPr>
          <w:rFonts w:hint="eastAsia" w:ascii="微软雅黑" w:hAnsi="微软雅黑" w:eastAsia="微软雅黑" w:cs="微软雅黑"/>
          <w:b/>
          <w:bCs/>
          <w:i w:val="0"/>
          <w:iCs w:val="0"/>
          <w:caps w:val="0"/>
          <w:color w:val="333333"/>
          <w:spacing w:val="0"/>
          <w:sz w:val="36"/>
          <w:szCs w:val="36"/>
          <w:bdr w:val="none" w:color="auto" w:sz="0" w:space="0"/>
          <w:shd w:val="clear" w:fill="FFFFFF"/>
        </w:rPr>
        <w:t>关于延续实施养老、托育、家政等社区家庭服务业税费优惠政策的公告</w:t>
      </w:r>
    </w:p>
    <w:p w14:paraId="29226D2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center"/>
        <w:rPr>
          <w:rFonts w:hint="eastAsia" w:ascii="微软雅黑" w:hAnsi="微软雅黑" w:eastAsia="微软雅黑" w:cs="微软雅黑"/>
          <w:b/>
          <w:bCs/>
          <w:i w:val="0"/>
          <w:iCs w:val="0"/>
          <w:caps w:val="0"/>
          <w:color w:val="333333"/>
          <w:spacing w:val="0"/>
          <w:kern w:val="0"/>
          <w:sz w:val="24"/>
          <w:szCs w:val="24"/>
          <w:bdr w:val="none" w:color="auto" w:sz="0" w:space="0"/>
          <w:shd w:val="clear" w:fill="FFFFFF"/>
          <w:lang w:val="en-US" w:eastAsia="zh-CN" w:bidi="ar"/>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 </w:t>
      </w:r>
      <w:r>
        <w:rPr>
          <w:rFonts w:hint="eastAsia" w:ascii="微软雅黑" w:hAnsi="微软雅黑" w:eastAsia="微软雅黑" w:cs="微软雅黑"/>
          <w:b/>
          <w:bCs/>
          <w:i w:val="0"/>
          <w:iCs w:val="0"/>
          <w:caps w:val="0"/>
          <w:color w:val="333333"/>
          <w:spacing w:val="0"/>
          <w:kern w:val="0"/>
          <w:sz w:val="24"/>
          <w:szCs w:val="24"/>
          <w:bdr w:val="none" w:color="auto" w:sz="0" w:space="0"/>
          <w:shd w:val="clear" w:fill="FFFFFF"/>
          <w:lang w:val="en-US" w:eastAsia="zh-CN" w:bidi="ar"/>
        </w:rPr>
        <w:t>财政部 </w:t>
      </w:r>
      <w:r>
        <w:rPr>
          <w:rFonts w:hint="eastAsia" w:ascii="微软雅黑" w:hAnsi="微软雅黑" w:eastAsia="微软雅黑" w:cs="微软雅黑"/>
          <w:b/>
          <w:bCs/>
          <w:i w:val="0"/>
          <w:iCs w:val="0"/>
          <w:caps w:val="0"/>
          <w:color w:val="333333"/>
          <w:spacing w:val="-2"/>
          <w:kern w:val="0"/>
          <w:sz w:val="24"/>
          <w:szCs w:val="24"/>
          <w:bdr w:val="none" w:color="auto" w:sz="0" w:space="0"/>
          <w:shd w:val="clear" w:fill="FFFFFF"/>
          <w:lang w:val="en-US" w:eastAsia="zh-CN" w:bidi="ar"/>
        </w:rPr>
        <w:t>税务总局 国家发展改革委 民政部 商务部 国家卫生健康委</w:t>
      </w:r>
      <w:r>
        <w:rPr>
          <w:rFonts w:hint="eastAsia" w:ascii="微软雅黑" w:hAnsi="微软雅黑" w:eastAsia="微软雅黑" w:cs="微软雅黑"/>
          <w:b/>
          <w:bCs/>
          <w:i w:val="0"/>
          <w:iCs w:val="0"/>
          <w:caps w:val="0"/>
          <w:color w:val="333333"/>
          <w:spacing w:val="0"/>
          <w:kern w:val="0"/>
          <w:sz w:val="24"/>
          <w:szCs w:val="24"/>
          <w:bdr w:val="none" w:color="auto" w:sz="0" w:space="0"/>
          <w:shd w:val="clear" w:fill="FFFFFF"/>
          <w:lang w:val="en-US" w:eastAsia="zh-CN" w:bidi="ar"/>
        </w:rPr>
        <w:t>公告</w:t>
      </w:r>
    </w:p>
    <w:p w14:paraId="22A7E462">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center"/>
        <w:rPr>
          <w:rFonts w:hint="eastAsia" w:ascii="微软雅黑" w:hAnsi="微软雅黑" w:eastAsia="微软雅黑" w:cs="微软雅黑"/>
          <w:i w:val="0"/>
          <w:iCs w:val="0"/>
          <w:caps w:val="0"/>
          <w:color w:val="333333"/>
          <w:spacing w:val="0"/>
          <w:sz w:val="21"/>
          <w:szCs w:val="21"/>
        </w:rPr>
      </w:pPr>
      <w:r>
        <w:rPr>
          <w:rFonts w:hint="eastAsia" w:ascii="微软雅黑" w:hAnsi="微软雅黑" w:eastAsia="微软雅黑" w:cs="微软雅黑"/>
          <w:b/>
          <w:bCs/>
          <w:i w:val="0"/>
          <w:iCs w:val="0"/>
          <w:caps w:val="0"/>
          <w:color w:val="333333"/>
          <w:spacing w:val="0"/>
          <w:kern w:val="0"/>
          <w:sz w:val="24"/>
          <w:szCs w:val="24"/>
          <w:bdr w:val="none" w:color="auto" w:sz="0" w:space="0"/>
          <w:shd w:val="clear" w:fill="FFFFFF"/>
          <w:lang w:val="en-US" w:eastAsia="zh-CN" w:bidi="ar"/>
        </w:rPr>
        <w:t>2026年第7号</w:t>
      </w:r>
    </w:p>
    <w:p w14:paraId="1C4B5297">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center"/>
        <w:rPr>
          <w:rFonts w:hint="eastAsia" w:ascii="微软雅黑" w:hAnsi="微软雅黑" w:eastAsia="微软雅黑" w:cs="微软雅黑"/>
          <w:i w:val="0"/>
          <w:iCs w:val="0"/>
          <w:caps w:val="0"/>
          <w:color w:val="333333"/>
          <w:spacing w:val="0"/>
          <w:sz w:val="21"/>
          <w:szCs w:val="21"/>
        </w:rPr>
      </w:pPr>
    </w:p>
    <w:p w14:paraId="687B465C">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微软雅黑" w:hAnsi="微软雅黑" w:eastAsia="微软雅黑" w:cs="微软雅黑"/>
          <w:i w:val="0"/>
          <w:iCs w:val="0"/>
          <w:caps w:val="0"/>
          <w:color w:val="333333"/>
          <w:spacing w:val="0"/>
          <w:sz w:val="21"/>
          <w:szCs w:val="21"/>
        </w:rPr>
      </w:pPr>
      <w:r>
        <w:rPr>
          <w:rFonts w:hint="eastAsia" w:ascii="微软雅黑" w:hAnsi="微软雅黑" w:eastAsia="微软雅黑" w:cs="微软雅黑"/>
          <w:i w:val="0"/>
          <w:iCs w:val="0"/>
          <w:caps w:val="0"/>
          <w:color w:val="333333"/>
          <w:spacing w:val="-2"/>
          <w:kern w:val="0"/>
          <w:sz w:val="27"/>
          <w:szCs w:val="27"/>
          <w:bdr w:val="none" w:color="auto" w:sz="0" w:space="0"/>
          <w:shd w:val="clear" w:fill="FFFFFF"/>
          <w:lang w:val="en-US" w:eastAsia="zh-CN" w:bidi="ar"/>
        </w:rPr>
        <w:t>　　为继续支持养老、托育、家政等社区家庭服务业发展，现就有关税费政策公告如下：</w:t>
      </w:r>
    </w:p>
    <w:p w14:paraId="0A153D5C">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微软雅黑" w:hAnsi="微软雅黑" w:eastAsia="微软雅黑" w:cs="微软雅黑"/>
          <w:i w:val="0"/>
          <w:iCs w:val="0"/>
          <w:caps w:val="0"/>
          <w:color w:val="333333"/>
          <w:spacing w:val="0"/>
          <w:sz w:val="21"/>
          <w:szCs w:val="21"/>
        </w:rPr>
      </w:pPr>
      <w:r>
        <w:rPr>
          <w:rFonts w:hint="eastAsia" w:ascii="微软雅黑" w:hAnsi="微软雅黑" w:eastAsia="微软雅黑" w:cs="微软雅黑"/>
          <w:i w:val="0"/>
          <w:iCs w:val="0"/>
          <w:caps w:val="0"/>
          <w:color w:val="333333"/>
          <w:spacing w:val="-2"/>
          <w:kern w:val="0"/>
          <w:sz w:val="27"/>
          <w:szCs w:val="27"/>
          <w:bdr w:val="none" w:color="auto" w:sz="0" w:space="0"/>
          <w:shd w:val="clear" w:fill="FFFFFF"/>
          <w:lang w:val="en-US" w:eastAsia="zh-CN" w:bidi="ar"/>
        </w:rPr>
        <w:t>　　一、为社区提供养老、托育、家政等服务的机构，按照以下规定享受税费优惠政策：</w:t>
      </w:r>
    </w:p>
    <w:p w14:paraId="0BD00819">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微软雅黑" w:hAnsi="微软雅黑" w:eastAsia="微软雅黑" w:cs="微软雅黑"/>
          <w:i w:val="0"/>
          <w:iCs w:val="0"/>
          <w:caps w:val="0"/>
          <w:color w:val="333333"/>
          <w:spacing w:val="0"/>
          <w:sz w:val="21"/>
          <w:szCs w:val="21"/>
        </w:rPr>
      </w:pPr>
      <w:r>
        <w:rPr>
          <w:rFonts w:hint="eastAsia" w:ascii="微软雅黑" w:hAnsi="微软雅黑" w:eastAsia="微软雅黑" w:cs="微软雅黑"/>
          <w:i w:val="0"/>
          <w:iCs w:val="0"/>
          <w:caps w:val="0"/>
          <w:color w:val="333333"/>
          <w:spacing w:val="-2"/>
          <w:kern w:val="0"/>
          <w:sz w:val="27"/>
          <w:szCs w:val="27"/>
          <w:bdr w:val="none" w:color="auto" w:sz="0" w:space="0"/>
          <w:shd w:val="clear" w:fill="FFFFFF"/>
          <w:lang w:val="en-US" w:eastAsia="zh-CN" w:bidi="ar"/>
        </w:rPr>
        <w:t>　　（一）提供社区养老、托育、家政服务取得的收入，免征增值税。</w:t>
      </w:r>
    </w:p>
    <w:p w14:paraId="662EAD72">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微软雅黑" w:hAnsi="微软雅黑" w:eastAsia="微软雅黑" w:cs="微软雅黑"/>
          <w:i w:val="0"/>
          <w:iCs w:val="0"/>
          <w:caps w:val="0"/>
          <w:color w:val="333333"/>
          <w:spacing w:val="0"/>
          <w:sz w:val="21"/>
          <w:szCs w:val="21"/>
        </w:rPr>
      </w:pPr>
      <w:r>
        <w:rPr>
          <w:rFonts w:hint="eastAsia" w:ascii="微软雅黑" w:hAnsi="微软雅黑" w:eastAsia="微软雅黑" w:cs="微软雅黑"/>
          <w:i w:val="0"/>
          <w:iCs w:val="0"/>
          <w:caps w:val="0"/>
          <w:color w:val="333333"/>
          <w:spacing w:val="-2"/>
          <w:kern w:val="0"/>
          <w:sz w:val="27"/>
          <w:szCs w:val="27"/>
          <w:bdr w:val="none" w:color="auto" w:sz="0" w:space="0"/>
          <w:shd w:val="clear" w:fill="FFFFFF"/>
          <w:lang w:val="en-US" w:eastAsia="zh-CN" w:bidi="ar"/>
        </w:rPr>
        <w:t>　　（二）提供社区养老、托育、家政服务取得的收入，在计算应纳税所得额时，减按90%计入收入总额。</w:t>
      </w:r>
    </w:p>
    <w:p w14:paraId="5D27AEF0">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微软雅黑" w:hAnsi="微软雅黑" w:eastAsia="微软雅黑" w:cs="微软雅黑"/>
          <w:i w:val="0"/>
          <w:iCs w:val="0"/>
          <w:caps w:val="0"/>
          <w:color w:val="333333"/>
          <w:spacing w:val="0"/>
          <w:sz w:val="21"/>
          <w:szCs w:val="21"/>
        </w:rPr>
      </w:pPr>
      <w:r>
        <w:rPr>
          <w:rFonts w:hint="eastAsia" w:ascii="微软雅黑" w:hAnsi="微软雅黑" w:eastAsia="微软雅黑" w:cs="微软雅黑"/>
          <w:i w:val="0"/>
          <w:iCs w:val="0"/>
          <w:caps w:val="0"/>
          <w:color w:val="333333"/>
          <w:spacing w:val="-2"/>
          <w:kern w:val="0"/>
          <w:sz w:val="27"/>
          <w:szCs w:val="27"/>
          <w:bdr w:val="none" w:color="auto" w:sz="0" w:space="0"/>
          <w:shd w:val="clear" w:fill="FFFFFF"/>
          <w:lang w:val="en-US" w:eastAsia="zh-CN" w:bidi="ar"/>
        </w:rPr>
        <w:t>　　（三）承受房屋、土地用于提供社区养老、托育、家政服务的，免征契税。</w:t>
      </w:r>
    </w:p>
    <w:p w14:paraId="62B90F7A">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微软雅黑" w:hAnsi="微软雅黑" w:eastAsia="微软雅黑" w:cs="微软雅黑"/>
          <w:i w:val="0"/>
          <w:iCs w:val="0"/>
          <w:caps w:val="0"/>
          <w:color w:val="333333"/>
          <w:spacing w:val="0"/>
          <w:sz w:val="21"/>
          <w:szCs w:val="21"/>
        </w:rPr>
      </w:pPr>
      <w:r>
        <w:rPr>
          <w:rFonts w:hint="eastAsia" w:ascii="微软雅黑" w:hAnsi="微软雅黑" w:eastAsia="微软雅黑" w:cs="微软雅黑"/>
          <w:i w:val="0"/>
          <w:iCs w:val="0"/>
          <w:caps w:val="0"/>
          <w:color w:val="333333"/>
          <w:spacing w:val="-2"/>
          <w:kern w:val="0"/>
          <w:sz w:val="27"/>
          <w:szCs w:val="27"/>
          <w:bdr w:val="none" w:color="auto" w:sz="0" w:space="0"/>
          <w:shd w:val="clear" w:fill="FFFFFF"/>
          <w:lang w:val="en-US" w:eastAsia="zh-CN" w:bidi="ar"/>
        </w:rPr>
        <w:t>　　（四）用于提供社区养老、托育、家政服务的房产、土地，免征不动产登记费、耕地开垦费、土地复垦费、土地闲置费；用于提供社区养老、托育、家政服务的建设项目，免征城市基础设施配套费；确因地质条件等原因无法修建防空地下室的，免征防空地下室易地建设费。</w:t>
      </w:r>
    </w:p>
    <w:p w14:paraId="3ED98F7D">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微软雅黑" w:hAnsi="微软雅黑" w:eastAsia="微软雅黑" w:cs="微软雅黑"/>
          <w:i w:val="0"/>
          <w:iCs w:val="0"/>
          <w:caps w:val="0"/>
          <w:color w:val="333333"/>
          <w:spacing w:val="0"/>
          <w:sz w:val="21"/>
          <w:szCs w:val="21"/>
        </w:rPr>
      </w:pPr>
      <w:r>
        <w:rPr>
          <w:rFonts w:hint="eastAsia" w:ascii="微软雅黑" w:hAnsi="微软雅黑" w:eastAsia="微软雅黑" w:cs="微软雅黑"/>
          <w:i w:val="0"/>
          <w:iCs w:val="0"/>
          <w:caps w:val="0"/>
          <w:color w:val="333333"/>
          <w:spacing w:val="-2"/>
          <w:kern w:val="0"/>
          <w:sz w:val="27"/>
          <w:szCs w:val="27"/>
          <w:bdr w:val="none" w:color="auto" w:sz="0" w:space="0"/>
          <w:shd w:val="clear" w:fill="FFFFFF"/>
          <w:lang w:val="en-US" w:eastAsia="zh-CN" w:bidi="ar"/>
        </w:rPr>
        <w:t>　　二、为社区提供养老、托育、家政等服务的机构自有或其通过承租、无偿使用等方式取得并用于提供社区养老、托育、家政服务的房产、土地，免征房产税、城镇土地使用税。</w:t>
      </w:r>
    </w:p>
    <w:p w14:paraId="6C82E18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微软雅黑" w:hAnsi="微软雅黑" w:eastAsia="微软雅黑" w:cs="微软雅黑"/>
          <w:i w:val="0"/>
          <w:iCs w:val="0"/>
          <w:caps w:val="0"/>
          <w:color w:val="333333"/>
          <w:spacing w:val="0"/>
          <w:sz w:val="21"/>
          <w:szCs w:val="21"/>
        </w:rPr>
      </w:pPr>
      <w:r>
        <w:rPr>
          <w:rFonts w:hint="eastAsia" w:ascii="微软雅黑" w:hAnsi="微软雅黑" w:eastAsia="微软雅黑" w:cs="微软雅黑"/>
          <w:i w:val="0"/>
          <w:iCs w:val="0"/>
          <w:caps w:val="0"/>
          <w:color w:val="333333"/>
          <w:spacing w:val="-2"/>
          <w:kern w:val="0"/>
          <w:sz w:val="27"/>
          <w:szCs w:val="27"/>
          <w:bdr w:val="none" w:color="auto" w:sz="0" w:space="0"/>
          <w:shd w:val="clear" w:fill="FFFFFF"/>
          <w:lang w:val="en-US" w:eastAsia="zh-CN" w:bidi="ar"/>
        </w:rPr>
        <w:t>　　三、本公告所称社区是指聚居在一定地域范围内的人们所组成的社会生活共同体，包括城市社区和农村社区。</w:t>
      </w:r>
    </w:p>
    <w:p w14:paraId="65172A6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微软雅黑" w:hAnsi="微软雅黑" w:eastAsia="微软雅黑" w:cs="微软雅黑"/>
          <w:i w:val="0"/>
          <w:iCs w:val="0"/>
          <w:caps w:val="0"/>
          <w:color w:val="333333"/>
          <w:spacing w:val="0"/>
          <w:sz w:val="21"/>
          <w:szCs w:val="21"/>
        </w:rPr>
      </w:pPr>
      <w:r>
        <w:rPr>
          <w:rFonts w:hint="eastAsia" w:ascii="微软雅黑" w:hAnsi="微软雅黑" w:eastAsia="微软雅黑" w:cs="微软雅黑"/>
          <w:i w:val="0"/>
          <w:iCs w:val="0"/>
          <w:caps w:val="0"/>
          <w:color w:val="333333"/>
          <w:spacing w:val="-2"/>
          <w:kern w:val="0"/>
          <w:sz w:val="27"/>
          <w:szCs w:val="27"/>
          <w:bdr w:val="none" w:color="auto" w:sz="0" w:space="0"/>
          <w:shd w:val="clear" w:fill="FFFFFF"/>
          <w:lang w:val="en-US" w:eastAsia="zh-CN" w:bidi="ar"/>
        </w:rPr>
        <w:t>　　为社区提供养老服务的机构，是指在社区依托固定场所设施，采取短托、日托、上门等方式，为社区居民提供养老服务的企业、事业单位和社会组织。社区养老服务是指为老年人提供的生活照料、康复护理、助餐助行、紧急救援、精神慰藉等服务。</w:t>
      </w:r>
    </w:p>
    <w:p w14:paraId="6710855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微软雅黑" w:hAnsi="微软雅黑" w:eastAsia="微软雅黑" w:cs="微软雅黑"/>
          <w:i w:val="0"/>
          <w:iCs w:val="0"/>
          <w:caps w:val="0"/>
          <w:color w:val="333333"/>
          <w:spacing w:val="0"/>
          <w:sz w:val="21"/>
          <w:szCs w:val="21"/>
        </w:rPr>
      </w:pPr>
      <w:r>
        <w:rPr>
          <w:rFonts w:hint="eastAsia" w:ascii="微软雅黑" w:hAnsi="微软雅黑" w:eastAsia="微软雅黑" w:cs="微软雅黑"/>
          <w:i w:val="0"/>
          <w:iCs w:val="0"/>
          <w:caps w:val="0"/>
          <w:color w:val="333333"/>
          <w:spacing w:val="-2"/>
          <w:kern w:val="0"/>
          <w:sz w:val="27"/>
          <w:szCs w:val="27"/>
          <w:bdr w:val="none" w:color="auto" w:sz="0" w:space="0"/>
          <w:shd w:val="clear" w:fill="FFFFFF"/>
          <w:lang w:val="en-US" w:eastAsia="zh-CN" w:bidi="ar"/>
        </w:rPr>
        <w:t>　　为社区提供托育服务的机构，是指在社区依托固定场所设施，采取全日托、半日托、计时托、临时托等方式，为社区居民提供托育服务的企业、事业单位和社会组织。社区托育服务是指为3周岁（含）以下婴幼儿提供的照料、看护、膳食、保育等服务。</w:t>
      </w:r>
    </w:p>
    <w:p w14:paraId="45B81F3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微软雅黑" w:hAnsi="微软雅黑" w:eastAsia="微软雅黑" w:cs="微软雅黑"/>
          <w:i w:val="0"/>
          <w:iCs w:val="0"/>
          <w:caps w:val="0"/>
          <w:color w:val="333333"/>
          <w:spacing w:val="0"/>
          <w:sz w:val="21"/>
          <w:szCs w:val="21"/>
        </w:rPr>
      </w:pPr>
      <w:r>
        <w:rPr>
          <w:rFonts w:hint="eastAsia" w:ascii="微软雅黑" w:hAnsi="微软雅黑" w:eastAsia="微软雅黑" w:cs="微软雅黑"/>
          <w:i w:val="0"/>
          <w:iCs w:val="0"/>
          <w:caps w:val="0"/>
          <w:color w:val="333333"/>
          <w:spacing w:val="-2"/>
          <w:kern w:val="0"/>
          <w:sz w:val="27"/>
          <w:szCs w:val="27"/>
          <w:bdr w:val="none" w:color="auto" w:sz="0" w:space="0"/>
          <w:shd w:val="clear" w:fill="FFFFFF"/>
          <w:lang w:val="en-US" w:eastAsia="zh-CN" w:bidi="ar"/>
        </w:rPr>
        <w:t>　　为社区提供家政服务的机构，是指以家庭为服务对象，为社区居民提供家政服务的企业、事业单位和社会组织。社区家政服务是指进入家庭成员住所或医疗机构为孕产妇、婴幼儿、老人、病人、残疾人提供的照护服务，以及进入家庭成员住所提供的保洁、烹饪等服务。</w:t>
      </w:r>
    </w:p>
    <w:p w14:paraId="7C0510B0">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微软雅黑" w:hAnsi="微软雅黑" w:eastAsia="微软雅黑" w:cs="微软雅黑"/>
          <w:i w:val="0"/>
          <w:iCs w:val="0"/>
          <w:caps w:val="0"/>
          <w:color w:val="333333"/>
          <w:spacing w:val="0"/>
          <w:sz w:val="21"/>
          <w:szCs w:val="21"/>
        </w:rPr>
      </w:pPr>
      <w:r>
        <w:rPr>
          <w:rFonts w:hint="eastAsia" w:ascii="微软雅黑" w:hAnsi="微软雅黑" w:eastAsia="微软雅黑" w:cs="微软雅黑"/>
          <w:i w:val="0"/>
          <w:iCs w:val="0"/>
          <w:caps w:val="0"/>
          <w:color w:val="333333"/>
          <w:spacing w:val="-2"/>
          <w:kern w:val="0"/>
          <w:sz w:val="27"/>
          <w:szCs w:val="27"/>
          <w:bdr w:val="none" w:color="auto" w:sz="0" w:space="0"/>
          <w:shd w:val="clear" w:fill="FFFFFF"/>
          <w:lang w:val="en-US" w:eastAsia="zh-CN" w:bidi="ar"/>
        </w:rPr>
        <w:t>　　四、享受本公告政策的纳税人缴费人，应留存《设置养老机构备案回执》、《托育机构备案回执》、与社区组织签订的服务协议，以及能够证明向所在社区管理居民提供服务的资料等备查。企业未能按照要求提供留存备查资料，或者提供的留存备查资料无法证实符合优惠事项规定条件的，或者资料存在虚假情况的，将依法追缴其已享受的税费款，并按照税收征收管理法等相关规定处理。</w:t>
      </w:r>
    </w:p>
    <w:p w14:paraId="22242ECA">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微软雅黑" w:hAnsi="微软雅黑" w:eastAsia="微软雅黑" w:cs="微软雅黑"/>
          <w:i w:val="0"/>
          <w:iCs w:val="0"/>
          <w:caps w:val="0"/>
          <w:color w:val="333333"/>
          <w:spacing w:val="0"/>
          <w:sz w:val="21"/>
          <w:szCs w:val="21"/>
        </w:rPr>
      </w:pPr>
      <w:r>
        <w:rPr>
          <w:rFonts w:hint="eastAsia" w:ascii="微软雅黑" w:hAnsi="微软雅黑" w:eastAsia="微软雅黑" w:cs="微软雅黑"/>
          <w:i w:val="0"/>
          <w:iCs w:val="0"/>
          <w:caps w:val="0"/>
          <w:color w:val="333333"/>
          <w:spacing w:val="-2"/>
          <w:kern w:val="0"/>
          <w:sz w:val="27"/>
          <w:szCs w:val="27"/>
          <w:bdr w:val="none" w:color="auto" w:sz="0" w:space="0"/>
          <w:shd w:val="clear" w:fill="FFFFFF"/>
          <w:lang w:val="en-US" w:eastAsia="zh-CN" w:bidi="ar"/>
        </w:rPr>
        <w:t>　　五、符合下列条件的家政服务企业提供家政服务取得的收入，免征增值税。</w:t>
      </w:r>
    </w:p>
    <w:p w14:paraId="5A30CF6D">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微软雅黑" w:hAnsi="微软雅黑" w:eastAsia="微软雅黑" w:cs="微软雅黑"/>
          <w:i w:val="0"/>
          <w:iCs w:val="0"/>
          <w:caps w:val="0"/>
          <w:color w:val="333333"/>
          <w:spacing w:val="0"/>
          <w:sz w:val="21"/>
          <w:szCs w:val="21"/>
        </w:rPr>
      </w:pPr>
      <w:r>
        <w:rPr>
          <w:rFonts w:hint="eastAsia" w:ascii="微软雅黑" w:hAnsi="微软雅黑" w:eastAsia="微软雅黑" w:cs="微软雅黑"/>
          <w:i w:val="0"/>
          <w:iCs w:val="0"/>
          <w:caps w:val="0"/>
          <w:color w:val="333333"/>
          <w:spacing w:val="-2"/>
          <w:kern w:val="0"/>
          <w:sz w:val="27"/>
          <w:szCs w:val="27"/>
          <w:bdr w:val="none" w:color="auto" w:sz="0" w:space="0"/>
          <w:shd w:val="clear" w:fill="FFFFFF"/>
          <w:lang w:val="en-US" w:eastAsia="zh-CN" w:bidi="ar"/>
        </w:rPr>
        <w:t>　　（一）与家政服务员、接受家政服务的客户就提供家政服务行为签订三方协议；</w:t>
      </w:r>
    </w:p>
    <w:p w14:paraId="7F3BDF5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微软雅黑" w:hAnsi="微软雅黑" w:eastAsia="微软雅黑" w:cs="微软雅黑"/>
          <w:i w:val="0"/>
          <w:iCs w:val="0"/>
          <w:caps w:val="0"/>
          <w:color w:val="333333"/>
          <w:spacing w:val="0"/>
          <w:sz w:val="21"/>
          <w:szCs w:val="21"/>
        </w:rPr>
      </w:pPr>
      <w:r>
        <w:rPr>
          <w:rFonts w:hint="eastAsia" w:ascii="微软雅黑" w:hAnsi="微软雅黑" w:eastAsia="微软雅黑" w:cs="微软雅黑"/>
          <w:i w:val="0"/>
          <w:iCs w:val="0"/>
          <w:caps w:val="0"/>
          <w:color w:val="333333"/>
          <w:spacing w:val="-2"/>
          <w:kern w:val="0"/>
          <w:sz w:val="27"/>
          <w:szCs w:val="27"/>
          <w:bdr w:val="none" w:color="auto" w:sz="0" w:space="0"/>
          <w:shd w:val="clear" w:fill="FFFFFF"/>
          <w:lang w:val="en-US" w:eastAsia="zh-CN" w:bidi="ar"/>
        </w:rPr>
        <w:t>　　（二）向家政服务员发放劳动报酬，并对家政服务员进行培训管理；</w:t>
      </w:r>
    </w:p>
    <w:p w14:paraId="1445A42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微软雅黑" w:hAnsi="微软雅黑" w:eastAsia="微软雅黑" w:cs="微软雅黑"/>
          <w:i w:val="0"/>
          <w:iCs w:val="0"/>
          <w:caps w:val="0"/>
          <w:color w:val="333333"/>
          <w:spacing w:val="0"/>
          <w:sz w:val="21"/>
          <w:szCs w:val="21"/>
        </w:rPr>
      </w:pPr>
      <w:r>
        <w:rPr>
          <w:rFonts w:hint="eastAsia" w:ascii="微软雅黑" w:hAnsi="微软雅黑" w:eastAsia="微软雅黑" w:cs="微软雅黑"/>
          <w:i w:val="0"/>
          <w:iCs w:val="0"/>
          <w:caps w:val="0"/>
          <w:color w:val="333333"/>
          <w:spacing w:val="-2"/>
          <w:kern w:val="0"/>
          <w:sz w:val="27"/>
          <w:szCs w:val="27"/>
          <w:bdr w:val="none" w:color="auto" w:sz="0" w:space="0"/>
          <w:shd w:val="clear" w:fill="FFFFFF"/>
          <w:lang w:val="en-US" w:eastAsia="zh-CN" w:bidi="ar"/>
        </w:rPr>
        <w:t>　　（三）通过建立业务管理系统对家政服务员进行登记管理。</w:t>
      </w:r>
    </w:p>
    <w:p w14:paraId="50A68B82">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微软雅黑" w:hAnsi="微软雅黑" w:eastAsia="微软雅黑" w:cs="微软雅黑"/>
          <w:i w:val="0"/>
          <w:iCs w:val="0"/>
          <w:caps w:val="0"/>
          <w:color w:val="333333"/>
          <w:spacing w:val="0"/>
          <w:sz w:val="21"/>
          <w:szCs w:val="21"/>
        </w:rPr>
      </w:pPr>
      <w:r>
        <w:rPr>
          <w:rFonts w:hint="eastAsia" w:ascii="微软雅黑" w:hAnsi="微软雅黑" w:eastAsia="微软雅黑" w:cs="微软雅黑"/>
          <w:i w:val="0"/>
          <w:iCs w:val="0"/>
          <w:caps w:val="0"/>
          <w:color w:val="333333"/>
          <w:spacing w:val="-2"/>
          <w:kern w:val="0"/>
          <w:sz w:val="27"/>
          <w:szCs w:val="27"/>
          <w:bdr w:val="none" w:color="auto" w:sz="0" w:space="0"/>
          <w:shd w:val="clear" w:fill="FFFFFF"/>
          <w:lang w:val="en-US" w:eastAsia="zh-CN" w:bidi="ar"/>
        </w:rPr>
        <w:t>　　六、民政、卫生健康、商务、财税部门应加强协调配合，协同进行日常监督和管理，建立健全信息共享机制。省级民政、卫生健康、商务部门定期向省级税务等部门共享社区养老、托育、家政等服务机构的必要信息，保障优惠政策落实到位。　</w:t>
      </w:r>
    </w:p>
    <w:p w14:paraId="0A9ECB27">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eastAsia" w:ascii="微软雅黑" w:hAnsi="微软雅黑" w:eastAsia="微软雅黑" w:cs="微软雅黑"/>
          <w:i w:val="0"/>
          <w:iCs w:val="0"/>
          <w:caps w:val="0"/>
          <w:color w:val="333333"/>
          <w:spacing w:val="0"/>
          <w:sz w:val="21"/>
          <w:szCs w:val="21"/>
        </w:rPr>
      </w:pPr>
      <w:r>
        <w:rPr>
          <w:rFonts w:hint="eastAsia" w:ascii="微软雅黑" w:hAnsi="微软雅黑" w:eastAsia="微软雅黑" w:cs="微软雅黑"/>
          <w:i w:val="0"/>
          <w:iCs w:val="0"/>
          <w:caps w:val="0"/>
          <w:color w:val="333333"/>
          <w:spacing w:val="-2"/>
          <w:kern w:val="0"/>
          <w:sz w:val="27"/>
          <w:szCs w:val="27"/>
          <w:bdr w:val="none" w:color="auto" w:sz="0" w:space="0"/>
          <w:shd w:val="clear" w:fill="FFFFFF"/>
          <w:lang w:val="en-US" w:eastAsia="zh-CN" w:bidi="ar"/>
        </w:rPr>
        <w:t>　　七、本公告自2026年1月1日起执行至2027年12月31日。</w:t>
      </w:r>
    </w:p>
    <w:p w14:paraId="1FF48D4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532"/>
        <w:jc w:val="both"/>
        <w:rPr>
          <w:rFonts w:hint="eastAsia" w:ascii="微软雅黑" w:hAnsi="微软雅黑" w:eastAsia="微软雅黑" w:cs="微软雅黑"/>
          <w:i w:val="0"/>
          <w:iCs w:val="0"/>
          <w:caps w:val="0"/>
          <w:color w:val="333333"/>
          <w:spacing w:val="-2"/>
          <w:kern w:val="0"/>
          <w:sz w:val="27"/>
          <w:szCs w:val="27"/>
          <w:bdr w:val="none" w:color="auto" w:sz="0" w:space="0"/>
          <w:shd w:val="clear" w:fill="FFFFFF"/>
          <w:lang w:val="en-US" w:eastAsia="zh-CN" w:bidi="ar"/>
        </w:rPr>
      </w:pPr>
      <w:r>
        <w:rPr>
          <w:rFonts w:hint="eastAsia" w:ascii="微软雅黑" w:hAnsi="微软雅黑" w:eastAsia="微软雅黑" w:cs="微软雅黑"/>
          <w:i w:val="0"/>
          <w:iCs w:val="0"/>
          <w:caps w:val="0"/>
          <w:color w:val="333333"/>
          <w:spacing w:val="-2"/>
          <w:kern w:val="0"/>
          <w:sz w:val="27"/>
          <w:szCs w:val="27"/>
          <w:bdr w:val="none" w:color="auto" w:sz="0" w:space="0"/>
          <w:shd w:val="clear" w:fill="FFFFFF"/>
          <w:lang w:val="en-US" w:eastAsia="zh-CN" w:bidi="ar"/>
        </w:rPr>
        <w:t>特此公告。</w:t>
      </w:r>
    </w:p>
    <w:p w14:paraId="3F981789">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right="0"/>
        <w:jc w:val="both"/>
        <w:rPr>
          <w:rFonts w:hint="eastAsia" w:ascii="微软雅黑" w:hAnsi="微软雅黑" w:eastAsia="微软雅黑" w:cs="微软雅黑"/>
          <w:i w:val="0"/>
          <w:iCs w:val="0"/>
          <w:caps w:val="0"/>
          <w:color w:val="333333"/>
          <w:spacing w:val="-2"/>
          <w:kern w:val="0"/>
          <w:sz w:val="27"/>
          <w:szCs w:val="27"/>
          <w:shd w:val="clear" w:fill="FFFFFF"/>
          <w:lang w:val="en-US" w:eastAsia="zh-CN" w:bidi="ar"/>
        </w:rPr>
      </w:pPr>
    </w:p>
    <w:p w14:paraId="77F5FA90">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right="0"/>
        <w:jc w:val="both"/>
        <w:rPr>
          <w:rFonts w:hint="eastAsia" w:ascii="微软雅黑" w:hAnsi="微软雅黑" w:eastAsia="微软雅黑" w:cs="微软雅黑"/>
          <w:i w:val="0"/>
          <w:iCs w:val="0"/>
          <w:caps w:val="0"/>
          <w:color w:val="333333"/>
          <w:spacing w:val="-2"/>
          <w:kern w:val="0"/>
          <w:sz w:val="27"/>
          <w:szCs w:val="27"/>
          <w:shd w:val="clear" w:fill="FFFFFF"/>
          <w:lang w:val="en-US" w:eastAsia="zh-CN" w:bidi="ar"/>
        </w:rPr>
      </w:pPr>
    </w:p>
    <w:p w14:paraId="2CB2E788">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right="0"/>
        <w:jc w:val="both"/>
        <w:rPr>
          <w:rFonts w:hint="eastAsia" w:ascii="微软雅黑" w:hAnsi="微软雅黑" w:eastAsia="微软雅黑" w:cs="微软雅黑"/>
          <w:i w:val="0"/>
          <w:iCs w:val="0"/>
          <w:caps w:val="0"/>
          <w:color w:val="333333"/>
          <w:spacing w:val="0"/>
          <w:sz w:val="21"/>
          <w:szCs w:val="21"/>
        </w:rPr>
      </w:pPr>
      <w:bookmarkStart w:id="0" w:name="_GoBack"/>
      <w:bookmarkEnd w:id="0"/>
      <w:r>
        <w:rPr>
          <w:rFonts w:hint="eastAsia" w:ascii="微软雅黑" w:hAnsi="微软雅黑" w:eastAsia="微软雅黑" w:cs="微软雅黑"/>
          <w:i w:val="0"/>
          <w:iCs w:val="0"/>
          <w:caps w:val="0"/>
          <w:color w:val="333333"/>
          <w:spacing w:val="-2"/>
          <w:kern w:val="0"/>
          <w:sz w:val="27"/>
          <w:szCs w:val="27"/>
          <w:shd w:val="clear" w:fill="FFFFFF"/>
          <w:lang w:val="en-US" w:eastAsia="zh-CN" w:bidi="ar"/>
        </w:rPr>
        <w:t xml:space="preserve">财政部  税务总局  国家发展改革委  </w:t>
      </w:r>
      <w:r>
        <w:rPr>
          <w:rFonts w:hint="eastAsia" w:ascii="微软雅黑" w:hAnsi="微软雅黑" w:eastAsia="微软雅黑" w:cs="微软雅黑"/>
          <w:i w:val="0"/>
          <w:iCs w:val="0"/>
          <w:caps w:val="0"/>
          <w:color w:val="333333"/>
          <w:spacing w:val="-2"/>
          <w:kern w:val="0"/>
          <w:sz w:val="27"/>
          <w:szCs w:val="27"/>
          <w:bdr w:val="none" w:color="auto" w:sz="0" w:space="0"/>
          <w:shd w:val="clear" w:fill="FFFFFF"/>
          <w:lang w:val="en-US" w:eastAsia="zh-CN" w:bidi="ar"/>
        </w:rPr>
        <w:t>民政部   商务部  国家卫生健康委</w:t>
      </w:r>
    </w:p>
    <w:p w14:paraId="48BDF79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right"/>
        <w:rPr>
          <w:rFonts w:hint="eastAsia" w:ascii="微软雅黑" w:hAnsi="微软雅黑" w:eastAsia="微软雅黑" w:cs="微软雅黑"/>
          <w:i w:val="0"/>
          <w:iCs w:val="0"/>
          <w:caps w:val="0"/>
          <w:color w:val="333333"/>
          <w:spacing w:val="0"/>
          <w:sz w:val="21"/>
          <w:szCs w:val="21"/>
        </w:rPr>
      </w:pPr>
      <w:r>
        <w:rPr>
          <w:rFonts w:hint="eastAsia" w:ascii="微软雅黑" w:hAnsi="微软雅黑" w:eastAsia="微软雅黑" w:cs="微软雅黑"/>
          <w:i w:val="0"/>
          <w:iCs w:val="0"/>
          <w:caps w:val="0"/>
          <w:color w:val="333333"/>
          <w:spacing w:val="-2"/>
          <w:kern w:val="0"/>
          <w:sz w:val="27"/>
          <w:szCs w:val="27"/>
          <w:bdr w:val="none" w:color="auto" w:sz="0" w:space="0"/>
          <w:shd w:val="clear" w:fill="FFFFFF"/>
          <w:lang w:val="en-US" w:eastAsia="zh-CN" w:bidi="ar"/>
        </w:rPr>
        <w:t>2026年1月15日</w:t>
      </w:r>
    </w:p>
    <w:p w14:paraId="108BE387"/>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4542AB5"/>
    <w:rsid w:val="2DB2209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1</TotalTime>
  <ScaleCrop>false</ScaleCrop>
  <LinksUpToDate>false</LinksUpToDate>
  <CharactersWithSpaces>0</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承诺</cp:lastModifiedBy>
  <dcterms:modified xsi:type="dcterms:W3CDTF">2026-01-21T07:26:45Z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eyJoZGlkIjoiMGRhYzNjZjU0NmIxOTM1MGM3YTEyY2IwMTA4MTJiYWIiLCJ1c2VySWQiOiIzNzY2MDA1MzgifQ==</vt:lpwstr>
  </property>
  <property fmtid="{D5CDD505-2E9C-101B-9397-08002B2CF9AE}" pid="4" name="ICV">
    <vt:lpwstr>2C1A15CF0D5D41E38EBA6F2133CBACA3_12</vt:lpwstr>
  </property>
</Properties>
</file>