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E9B02B">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关于延续实施境外机构投资境内债券市场企业所得税、增值税政策的公告</w:t>
      </w:r>
    </w:p>
    <w:p w14:paraId="6EA90975">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lang w:eastAsia="zh-CN"/>
        </w:rPr>
      </w:pPr>
      <w:r>
        <w:rPr>
          <w:rFonts w:hint="eastAsia" w:ascii="微软雅黑" w:hAnsi="微软雅黑" w:eastAsia="微软雅黑" w:cs="微软雅黑"/>
          <w:i w:val="0"/>
          <w:iCs w:val="0"/>
          <w:caps w:val="0"/>
          <w:color w:val="333333"/>
          <w:spacing w:val="0"/>
          <w:sz w:val="21"/>
          <w:szCs w:val="21"/>
          <w:shd w:val="clear" w:fill="FFFFFF"/>
          <w:lang w:eastAsia="zh-CN"/>
        </w:rPr>
        <w:t>文号：</w:t>
      </w:r>
      <w:r>
        <w:rPr>
          <w:rFonts w:ascii="微软雅黑" w:hAnsi="微软雅黑" w:eastAsia="微软雅黑" w:cs="微软雅黑"/>
          <w:i w:val="0"/>
          <w:iCs w:val="0"/>
          <w:caps w:val="0"/>
          <w:color w:val="333333"/>
          <w:spacing w:val="0"/>
          <w:sz w:val="21"/>
          <w:szCs w:val="21"/>
          <w:shd w:val="clear" w:fill="FFFFFF"/>
        </w:rPr>
        <w:t>财政</w:t>
      </w:r>
      <w:r>
        <w:rPr>
          <w:rFonts w:ascii="微软雅黑" w:hAnsi="微软雅黑" w:eastAsia="微软雅黑" w:cs="微软雅黑"/>
          <w:i w:val="0"/>
          <w:iCs w:val="0"/>
          <w:caps w:val="0"/>
          <w:color w:val="333333"/>
          <w:spacing w:val="0"/>
          <w:sz w:val="21"/>
          <w:szCs w:val="21"/>
          <w:shd w:val="clear" w:fill="FFFFFF"/>
        </w:rPr>
        <w:t>部 税务总局公告2026年第5号</w:t>
      </w:r>
    </w:p>
    <w:p w14:paraId="705081CE">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为进一步推动债券市场对外开放，现将有关税收政策公告如下： </w:t>
      </w:r>
    </w:p>
    <w:p w14:paraId="6B275351">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自2026年１月1日起至2027年12月31日止，对境外机构投资境内债券市场取得的债券利息收入暂免征收企业所得</w:t>
      </w:r>
      <w:bookmarkStart w:id="0" w:name="_GoBack"/>
      <w:bookmarkEnd w:id="0"/>
      <w:r>
        <w:rPr>
          <w:rFonts w:hint="eastAsia" w:ascii="微软雅黑" w:hAnsi="微软雅黑" w:eastAsia="微软雅黑" w:cs="微软雅黑"/>
          <w:i w:val="0"/>
          <w:iCs w:val="0"/>
          <w:caps w:val="0"/>
          <w:color w:val="333333"/>
          <w:spacing w:val="0"/>
          <w:sz w:val="24"/>
          <w:szCs w:val="24"/>
          <w:shd w:val="clear" w:fill="FFFFFF"/>
        </w:rPr>
        <w:t>税和增值税。 </w:t>
      </w:r>
    </w:p>
    <w:p w14:paraId="7F93EDAA">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上述暂免征收企业所得税的范围不包括境外机构在境内设立的机构、场所取得的与该机构、场所有实际联系的债券利息。 </w:t>
      </w:r>
    </w:p>
    <w:p w14:paraId="093D51A6">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特此公告。 </w:t>
      </w:r>
    </w:p>
    <w:p w14:paraId="055447A8">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14:paraId="5C733BD2">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财政部 税务总局</w:t>
      </w:r>
    </w:p>
    <w:p w14:paraId="107E0DC7">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1"/>
          <w:szCs w:val="21"/>
          <w:shd w:val="clear" w:fill="FFFFFF"/>
        </w:rPr>
        <w:t> 2026年1月13日 </w:t>
      </w:r>
    </w:p>
    <w:p w14:paraId="0D77D87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4A27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2026-01-18T12:29:00Z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0252E6121F4748DD94A73FF4A40C67B5_12</vt:lpwstr>
  </property>
</Properties>
</file>