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EB123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75" w:lineRule="atLeast"/>
        <w:ind w:left="0" w:right="0" w:firstLine="0"/>
        <w:jc w:val="center"/>
        <w:rPr>
          <w:rFonts w:ascii="微软雅黑" w:hAnsi="微软雅黑" w:eastAsia="微软雅黑" w:cs="微软雅黑"/>
          <w:b/>
          <w:bCs/>
          <w:i w:val="0"/>
          <w:iCs w:val="0"/>
          <w:caps w:val="0"/>
          <w:color w:val="333333"/>
          <w:spacing w:val="0"/>
          <w:sz w:val="36"/>
          <w:szCs w:val="36"/>
        </w:rPr>
      </w:pPr>
      <w:r>
        <w:rPr>
          <w:rFonts w:hint="eastAsia" w:ascii="微软雅黑" w:hAnsi="微软雅黑" w:eastAsia="微软雅黑" w:cs="微软雅黑"/>
          <w:b/>
          <w:bCs/>
          <w:i w:val="0"/>
          <w:iCs w:val="0"/>
          <w:caps w:val="0"/>
          <w:color w:val="333333"/>
          <w:spacing w:val="0"/>
          <w:sz w:val="36"/>
          <w:szCs w:val="36"/>
          <w:bdr w:val="none" w:color="auto" w:sz="0" w:space="0"/>
          <w:shd w:val="clear" w:fill="FFFFFF"/>
        </w:rPr>
        <w:t>关于调整光伏等产品出口退税政策的公告</w:t>
      </w:r>
    </w:p>
    <w:p w14:paraId="19869A4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jc w:val="center"/>
        <w:rPr>
          <w:rFonts w:hint="eastAsia" w:ascii="宋体" w:hAnsi="宋体" w:eastAsia="宋体" w:cs="宋体"/>
          <w:b/>
          <w:bCs/>
          <w:i w:val="0"/>
          <w:iCs w:val="0"/>
          <w:caps w:val="0"/>
          <w:color w:val="333333"/>
          <w:spacing w:val="0"/>
          <w:sz w:val="24"/>
          <w:szCs w:val="24"/>
          <w:bdr w:val="none" w:color="auto" w:sz="0" w:space="0"/>
          <w:shd w:val="clear" w:fill="FFFFFF"/>
        </w:rPr>
      </w:pPr>
      <w:r>
        <w:rPr>
          <w:rFonts w:hint="eastAsia" w:ascii="宋体" w:hAnsi="宋体" w:eastAsia="宋体" w:cs="宋体"/>
          <w:b/>
          <w:bCs/>
          <w:i w:val="0"/>
          <w:iCs w:val="0"/>
          <w:caps w:val="0"/>
          <w:color w:val="333333"/>
          <w:spacing w:val="0"/>
          <w:sz w:val="24"/>
          <w:szCs w:val="24"/>
          <w:bdr w:val="none" w:color="auto" w:sz="0" w:space="0"/>
          <w:shd w:val="clear" w:fill="FFFFFF"/>
        </w:rPr>
        <w:t>财政部 税务总局公告2026年第2号</w:t>
      </w:r>
    </w:p>
    <w:p w14:paraId="3A0DFC0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jc w:val="center"/>
        <w:rPr>
          <w:rFonts w:hint="eastAsia" w:ascii="宋体" w:hAnsi="宋体" w:eastAsia="宋体" w:cs="宋体"/>
          <w:b/>
          <w:bCs/>
          <w:i w:val="0"/>
          <w:iCs w:val="0"/>
          <w:caps w:val="0"/>
          <w:color w:val="333333"/>
          <w:spacing w:val="0"/>
          <w:sz w:val="24"/>
          <w:szCs w:val="24"/>
          <w:bdr w:val="none" w:color="auto" w:sz="0" w:space="0"/>
          <w:shd w:val="clear" w:fill="FFFFFF"/>
        </w:rPr>
      </w:pPr>
    </w:p>
    <w:p w14:paraId="604A327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现就调整光伏等产品出口退税政策有关事项公告如下：</w:t>
      </w:r>
    </w:p>
    <w:p w14:paraId="3AA44A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一、自2026年4月1日起，取消光伏等产品增值税出口退税。具体产品清单见附件1。</w:t>
      </w:r>
    </w:p>
    <w:p w14:paraId="7147E89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二、自2026年4月1日起至2026年12月31日，将电池产品的增值税出口退税率由9%下调至6%；2027年1月1日起，取消电池产品增值税出口退税。具体产品清单见附件2。</w:t>
      </w:r>
    </w:p>
    <w:p w14:paraId="6D01F9D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三、对上述产品中征收消费税的产品，出口消费税政策不作调整，继续适用消费税退（免）税政策。</w:t>
      </w:r>
    </w:p>
    <w:p w14:paraId="1517F78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四、本公告所列产品适用的出口退税率以出口货物报关单注明的出口日期界定。</w:t>
      </w:r>
    </w:p>
    <w:p w14:paraId="0A4E4DA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特此公告。</w:t>
      </w:r>
    </w:p>
    <w:p w14:paraId="657FB04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附件：1.光伏等产品清单</w:t>
      </w:r>
    </w:p>
    <w:p w14:paraId="1DEBC0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2.电池产品清单</w:t>
      </w:r>
    </w:p>
    <w:p w14:paraId="28459B9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财政部 税务总局</w:t>
      </w:r>
    </w:p>
    <w:p w14:paraId="12DF97D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2026年1月8日</w:t>
      </w:r>
    </w:p>
    <w:p w14:paraId="5ECA156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63554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280</Words>
  <Characters>304</Characters>
  <Lines>0</Lines>
  <Paragraphs>0</Paragraphs>
  <TotalTime>0</TotalTime>
  <ScaleCrop>false</ScaleCrop>
  <LinksUpToDate>false</LinksUpToDate>
  <CharactersWithSpaces>343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2026-01-12T00:59:35Z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A68470CB3E25479889479DBAA40F54CE_12</vt:lpwstr>
  </property>
</Properties>
</file>