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spacing w:beforeAutospacing="0" w:afterAutospacing="0" w:line="600" w:lineRule="exact"/>
        <w:ind w:left="0"/>
        <w:jc w:val="center"/>
        <w:rPr>
          <w:rFonts w:ascii="方正小标宋简体" w:eastAsia="方正小标宋简体" w:cs="方正小标宋简体" w:hAnsi="方正小标宋简体" w:hint="eastAsia"/>
          <w:sz w:val="44"/>
          <w:szCs w:val="44"/>
          <w:lang w:eastAsia="zh-CN"/>
        </w:rPr>
      </w:pPr>
      <w:r>
        <w:rPr>
          <w:rFonts w:ascii="方正小标宋简体" w:eastAsia="方正小标宋简体" w:cs="方正小标宋简体" w:hAnsi="方正小标宋简体" w:hint="eastAsia"/>
          <w:sz w:val="44"/>
          <w:szCs w:val="44"/>
          <w:lang w:eastAsia="zh-CN"/>
        </w:rPr>
        <w:t>赵县民政局</w:t>
      </w:r>
    </w:p>
    <w:p>
      <w:pPr>
        <w:spacing w:beforeAutospacing="0" w:afterAutospacing="0" w:line="600" w:lineRule="exact"/>
        <w:ind w:left="0"/>
        <w:jc w:val="center"/>
        <w:rPr>
          <w:rFonts w:ascii="仿宋_GB2312" w:eastAsia="仿宋_GB2312" w:cs="仿宋_GB2312" w:hAnsi="仿宋" w:hint="eastAsia"/>
          <w:b/>
          <w:bCs/>
          <w:sz w:val="32"/>
          <w:szCs w:val="32"/>
          <w:lang w:val="en-US" w:eastAsia="zh-CN"/>
        </w:rPr>
      </w:pPr>
      <w:bookmarkStart w:id="0" w:name="_GoBack"/>
      <w:r>
        <w:rPr>
          <w:rFonts w:ascii="方正小标宋简体" w:eastAsia="方正小标宋简体" w:cs="方正小标宋简体" w:hAnsi="方正小标宋简体" w:hint="eastAsia"/>
          <w:sz w:val="44"/>
          <w:szCs w:val="44"/>
          <w:lang w:val="en-US" w:eastAsia="zh-CN"/>
        </w:rPr>
        <w:t>2025年法治</w:t>
      </w:r>
      <w:r>
        <w:rPr>
          <w:rFonts w:ascii="方正小标宋简体" w:eastAsia="方正小标宋简体" w:cs="方正小标宋简体" w:hAnsi="方正小标宋简体"/>
          <w:sz w:val="44"/>
          <w:szCs w:val="44"/>
          <w:lang w:val="en-US" w:eastAsia="zh-CN"/>
        </w:rPr>
        <w:t>政府</w:t>
      </w:r>
      <w:r>
        <w:rPr>
          <w:rFonts w:ascii="方正小标宋简体" w:eastAsia="方正小标宋简体" w:cs="方正小标宋简体" w:hAnsi="方正小标宋简体" w:hint="eastAsia"/>
          <w:sz w:val="44"/>
          <w:szCs w:val="44"/>
          <w:lang w:val="en-US" w:eastAsia="zh-CN"/>
        </w:rPr>
        <w:t>建设</w:t>
      </w:r>
      <w:r>
        <w:rPr>
          <w:rFonts w:ascii="方正小标宋简体" w:eastAsia="方正小标宋简体" w:cs="方正小标宋简体" w:hAnsi="方正小标宋简体"/>
          <w:sz w:val="44"/>
          <w:szCs w:val="44"/>
          <w:lang w:val="en-US" w:eastAsia="zh-CN"/>
        </w:rPr>
        <w:t>情况报告</w:t>
      </w:r>
      <w:bookmarkEnd w:id="0"/>
    </w:p>
    <w:p>
      <w:pPr>
        <w:spacing w:beforeAutospacing="0" w:afterAutospacing="0" w:line="600" w:lineRule="exact"/>
        <w:rPr>
          <w:rFonts w:ascii="仿宋_GB2312" w:eastAsia="仿宋_GB2312" w:cs="仿宋_GB2312" w:hint="eastAsia"/>
          <w:sz w:val="32"/>
          <w:szCs w:val="32"/>
        </w:rPr>
      </w:pPr>
    </w:p>
    <w:p>
      <w:pPr>
        <w:spacing w:beforeAutospacing="0" w:afterAutospacing="0" w:line="600" w:lineRule="exact"/>
        <w:ind w:firstLineChars="200" w:firstLine="640"/>
        <w:rPr>
          <w:rFonts w:ascii="仿宋_GB2312" w:eastAsia="仿宋_GB2312" w:cs="仿宋_GB2312" w:hAnsi="方正仿宋简体" w:hint="eastAsia"/>
          <w:sz w:val="32"/>
          <w:szCs w:val="32"/>
        </w:rPr>
      </w:pPr>
      <w:r>
        <w:rPr>
          <w:rFonts w:ascii="仿宋_GB2312" w:eastAsia="仿宋_GB2312" w:cs="仿宋_GB2312" w:hAnsi="方正仿宋简体" w:hint="eastAsia"/>
          <w:sz w:val="32"/>
          <w:szCs w:val="32"/>
        </w:rPr>
        <w:t>202</w:t>
      </w:r>
      <w:r>
        <w:rPr>
          <w:rFonts w:ascii="仿宋_GB2312" w:eastAsia="仿宋_GB2312" w:cs="仿宋_GB2312" w:hAnsi="方正仿宋简体" w:hint="eastAsia"/>
          <w:sz w:val="32"/>
          <w:szCs w:val="32"/>
          <w:lang w:val="en-US" w:eastAsia="zh-CN"/>
        </w:rPr>
        <w:t>5</w:t>
      </w:r>
      <w:r>
        <w:rPr>
          <w:rFonts w:ascii="仿宋_GB2312" w:eastAsia="仿宋_GB2312" w:cs="仿宋_GB2312" w:hAnsi="方正仿宋简体" w:hint="eastAsia"/>
          <w:sz w:val="32"/>
          <w:szCs w:val="32"/>
        </w:rPr>
        <w:t>年，赵县民政局在县委、县政府的坚强领导下，在上级民政部门的精心指导下，深入学习贯彻习近平法治思想，紧紧围绕法治政府建设目标，坚持依法行政，不断完善工作机制，加强执法监督，提升服务水平，为推动民政事业高质量发展提供了坚实的法治保障。现将202</w:t>
      </w:r>
      <w:r>
        <w:rPr>
          <w:rFonts w:ascii="仿宋_GB2312" w:eastAsia="仿宋_GB2312" w:cs="仿宋_GB2312" w:hAnsi="方正仿宋简体" w:hint="eastAsia"/>
          <w:sz w:val="32"/>
          <w:szCs w:val="32"/>
          <w:lang w:val="en-US" w:eastAsia="zh-CN"/>
        </w:rPr>
        <w:t>5</w:t>
      </w:r>
      <w:r>
        <w:rPr>
          <w:rFonts w:ascii="仿宋_GB2312" w:eastAsia="仿宋_GB2312" w:cs="仿宋_GB2312" w:hAnsi="方正仿宋简体" w:hint="eastAsia"/>
          <w:sz w:val="32"/>
          <w:szCs w:val="32"/>
        </w:rPr>
        <w:t>年度法治政府建设情况报告如下：</w:t>
      </w:r>
    </w:p>
    <w:p>
      <w:pPr>
        <w:spacing w:beforeAutospacing="0" w:afterAutospacing="0" w:line="600" w:lineRule="exact"/>
        <w:ind w:firstLineChars="200" w:firstLine="640"/>
        <w:rPr>
          <w:rFonts w:ascii="黑体" w:eastAsia="黑体" w:cs="黑体" w:hAnsi="黑体" w:hint="eastAsia"/>
          <w:sz w:val="32"/>
          <w:szCs w:val="32"/>
        </w:rPr>
      </w:pPr>
      <w:r>
        <w:rPr>
          <w:rFonts w:ascii="黑体" w:eastAsia="黑体" w:cs="黑体" w:hAnsi="黑体" w:hint="eastAsia"/>
          <w:sz w:val="32"/>
          <w:szCs w:val="32"/>
        </w:rPr>
        <w:t>一、主要举措和成效</w:t>
      </w:r>
    </w:p>
    <w:p>
      <w:pPr>
        <w:spacing w:beforeAutospacing="0" w:afterAutospacing="0" w:line="600" w:lineRule="exact"/>
        <w:ind w:firstLineChars="200" w:firstLine="640"/>
        <w:rPr>
          <w:rFonts w:ascii="楷体_GB2312" w:eastAsia="楷体_GB2312" w:cs="楷体_GB2312" w:hAnsi="方正仿宋简体" w:hint="eastAsia"/>
          <w:sz w:val="32"/>
          <w:szCs w:val="32"/>
        </w:rPr>
      </w:pPr>
      <w:r>
        <w:rPr>
          <w:rFonts w:ascii="楷体_GB2312" w:eastAsia="楷体_GB2312" w:cs="楷体_GB2312" w:hAnsi="方正仿宋简体" w:hint="eastAsia"/>
          <w:sz w:val="32"/>
          <w:szCs w:val="32"/>
        </w:rPr>
        <w:t>（一）加强组织领导，健全法治工作机制</w:t>
      </w:r>
    </w:p>
    <w:p>
      <w:pPr>
        <w:spacing w:beforeAutospacing="0" w:afterAutospacing="0" w:line="600" w:lineRule="exact"/>
        <w:ind w:left="0" w:firstLineChars="200" w:firstLine="640"/>
        <w:rPr>
          <w:rFonts w:ascii="仿宋_GB2312" w:eastAsia="仿宋_GB2312" w:cs="仿宋_GB2312" w:hAnsi="方正仿宋简体" w:hint="eastAsia"/>
          <w:sz w:val="32"/>
          <w:szCs w:val="32"/>
        </w:rPr>
      </w:pPr>
      <w:r>
        <w:rPr>
          <w:rFonts w:ascii="仿宋_GB2312" w:eastAsia="仿宋_GB2312" w:cs="仿宋_GB2312" w:hAnsi="方正仿宋简体"/>
          <w:b/>
          <w:bCs/>
          <w:sz w:val="32"/>
          <w:szCs w:val="32"/>
        </w:rPr>
        <w:t>1.</w:t>
      </w:r>
      <w:r>
        <w:rPr>
          <w:rFonts w:ascii="仿宋_GB2312" w:eastAsia="仿宋_GB2312" w:cs="仿宋_GB2312" w:hAnsi="方正仿宋简体" w:hint="eastAsia"/>
          <w:b/>
          <w:bCs/>
          <w:sz w:val="32"/>
          <w:szCs w:val="32"/>
        </w:rPr>
        <w:t>强化法治建设领导责任制</w:t>
      </w:r>
      <w:r>
        <w:rPr>
          <w:rFonts w:ascii="仿宋_GB2312" w:eastAsia="仿宋_GB2312" w:cs="仿宋_GB2312" w:hAnsi="方正仿宋简体"/>
          <w:b/>
          <w:bCs/>
          <w:sz w:val="32"/>
          <w:szCs w:val="32"/>
        </w:rPr>
        <w:t>。</w:t>
      </w:r>
      <w:r>
        <w:rPr>
          <w:rFonts w:ascii="仿宋_GB2312" w:eastAsia="仿宋_GB2312" w:cs="仿宋_GB2312" w:hAnsi="方正仿宋简体" w:hint="eastAsia"/>
          <w:sz w:val="32"/>
          <w:szCs w:val="32"/>
        </w:rPr>
        <w:t>严格落实党政主要负责人履行推进法治建设第一责任人职责，成立以局长为组长、分管副局长为副组长、各</w:t>
      </w:r>
      <w:r>
        <w:rPr>
          <w:rFonts w:ascii="仿宋_GB2312" w:eastAsia="仿宋_GB2312" w:cs="仿宋_GB2312" w:hAnsi="方正仿宋简体"/>
          <w:sz w:val="32"/>
          <w:szCs w:val="32"/>
        </w:rPr>
        <w:t>股</w:t>
      </w:r>
      <w:r>
        <w:rPr>
          <w:rFonts w:ascii="仿宋_GB2312" w:eastAsia="仿宋_GB2312" w:cs="仿宋_GB2312" w:hAnsi="方正仿宋简体" w:hint="eastAsia"/>
          <w:sz w:val="32"/>
          <w:szCs w:val="32"/>
        </w:rPr>
        <w:t>室及</w:t>
      </w:r>
      <w:r>
        <w:rPr>
          <w:rFonts w:ascii="仿宋_GB2312" w:eastAsia="仿宋_GB2312" w:cs="仿宋_GB2312" w:hAnsi="方正仿宋简体"/>
          <w:sz w:val="32"/>
          <w:szCs w:val="32"/>
        </w:rPr>
        <w:t>直</w:t>
      </w:r>
      <w:r>
        <w:rPr>
          <w:rFonts w:ascii="仿宋_GB2312" w:eastAsia="仿宋_GB2312" w:cs="仿宋_GB2312" w:hAnsi="方正仿宋简体" w:hint="eastAsia"/>
          <w:sz w:val="32"/>
          <w:szCs w:val="32"/>
        </w:rPr>
        <w:t>属单位负责人为成员的法治政府建设工作领导小组，明确职责分工，定期召开会议研究部署法治工作，形成了主要领导亲自抓、分管领导具体抓、各</w:t>
      </w:r>
      <w:r>
        <w:rPr>
          <w:rFonts w:ascii="仿宋_GB2312" w:eastAsia="仿宋_GB2312" w:cs="仿宋_GB2312" w:hAnsi="方正仿宋简体"/>
          <w:sz w:val="32"/>
          <w:szCs w:val="32"/>
        </w:rPr>
        <w:t>股</w:t>
      </w:r>
      <w:r>
        <w:rPr>
          <w:rFonts w:ascii="仿宋_GB2312" w:eastAsia="仿宋_GB2312" w:cs="仿宋_GB2312" w:hAnsi="方正仿宋简体" w:hint="eastAsia"/>
          <w:sz w:val="32"/>
          <w:szCs w:val="32"/>
        </w:rPr>
        <w:t>室</w:t>
      </w:r>
      <w:r>
        <w:rPr>
          <w:rFonts w:ascii="仿宋_GB2312" w:eastAsia="仿宋_GB2312" w:cs="仿宋_GB2312" w:hAnsi="方正仿宋简体"/>
          <w:sz w:val="32"/>
          <w:szCs w:val="32"/>
        </w:rPr>
        <w:t>和直属单位</w:t>
      </w:r>
      <w:r>
        <w:rPr>
          <w:rFonts w:ascii="仿宋_GB2312" w:eastAsia="仿宋_GB2312" w:cs="仿宋_GB2312" w:hAnsi="方正仿宋简体" w:hint="eastAsia"/>
          <w:sz w:val="32"/>
          <w:szCs w:val="32"/>
        </w:rPr>
        <w:t>协同配合的工作格局。</w:t>
      </w:r>
    </w:p>
    <w:p>
      <w:pPr>
        <w:spacing w:beforeAutospacing="0" w:afterAutospacing="0" w:line="600" w:lineRule="exact"/>
        <w:ind w:firstLineChars="200" w:firstLine="640"/>
        <w:rPr>
          <w:rFonts w:ascii="仿宋_GB2312" w:eastAsia="仿宋_GB2312" w:cs="仿宋_GB2312" w:hAnsi="方正仿宋简体" w:hint="eastAsia"/>
          <w:sz w:val="32"/>
          <w:szCs w:val="32"/>
        </w:rPr>
      </w:pPr>
      <w:r>
        <w:rPr>
          <w:rFonts w:ascii="仿宋_GB2312" w:eastAsia="仿宋_GB2312" w:cs="仿宋_GB2312" w:hAnsi="方正仿宋简体" w:hint="eastAsia"/>
          <w:b/>
          <w:bCs/>
          <w:sz w:val="32"/>
          <w:szCs w:val="32"/>
        </w:rPr>
        <w:t>2.完善法治建设工作制度。</w:t>
      </w:r>
      <w:r>
        <w:rPr>
          <w:rFonts w:ascii="仿宋_GB2312" w:eastAsia="仿宋_GB2312" w:cs="仿宋_GB2312" w:hAnsi="方正仿宋简体" w:hint="eastAsia"/>
          <w:sz w:val="32"/>
          <w:szCs w:val="32"/>
        </w:rPr>
        <w:t>将法治建设工作纳入年度工作计划和目标考核体系，与民政业务工作同部署、同落实、同检查、同考核。健全</w:t>
      </w:r>
      <w:r>
        <w:rPr>
          <w:rFonts w:ascii="仿宋_GB2312" w:eastAsia="仿宋_GB2312" w:cs="仿宋_GB2312" w:hAnsi="方正仿宋简体"/>
          <w:sz w:val="32"/>
          <w:szCs w:val="32"/>
        </w:rPr>
        <w:t>完善</w:t>
      </w:r>
      <w:r>
        <w:rPr>
          <w:rFonts w:ascii="仿宋_GB2312" w:eastAsia="仿宋_GB2312" w:cs="仿宋_GB2312" w:hAnsi="方正仿宋简体" w:hint="eastAsia"/>
          <w:sz w:val="32"/>
          <w:szCs w:val="32"/>
        </w:rPr>
        <w:t>重大行政决策程序、规范性文件合法性审查、行政执法监督等制度，确保各项工作依法依规开展。</w:t>
      </w:r>
    </w:p>
    <w:p>
      <w:pPr>
        <w:spacing w:beforeAutospacing="0" w:afterAutospacing="0" w:line="600" w:lineRule="exact"/>
        <w:ind w:firstLineChars="200" w:firstLine="640"/>
        <w:rPr>
          <w:rFonts w:ascii="楷体_GB2312" w:eastAsia="楷体_GB2312" w:cs="楷体_GB2312" w:hAnsi="方正仿宋简体" w:hint="eastAsia"/>
          <w:sz w:val="32"/>
          <w:szCs w:val="32"/>
        </w:rPr>
      </w:pPr>
      <w:r>
        <w:rPr>
          <w:rFonts w:ascii="楷体_GB2312" w:eastAsia="楷体_GB2312" w:cs="楷体_GB2312" w:hAnsi="方正仿宋简体" w:hint="eastAsia"/>
          <w:sz w:val="32"/>
          <w:szCs w:val="32"/>
        </w:rPr>
        <w:t>（二）加强法治宣传教育，提升依法行政意识</w:t>
      </w:r>
    </w:p>
    <w:p>
      <w:pPr>
        <w:spacing w:beforeAutospacing="0" w:afterAutospacing="0" w:line="600" w:lineRule="exact"/>
        <w:ind w:firstLineChars="200" w:firstLine="640"/>
        <w:rPr>
          <w:rFonts w:ascii="仿宋_GB2312" w:eastAsia="仿宋_GB2312" w:cs="仿宋_GB2312" w:hAnsi="方正仿宋简体" w:hint="eastAsia"/>
          <w:sz w:val="32"/>
          <w:szCs w:val="32"/>
        </w:rPr>
      </w:pPr>
      <w:r>
        <w:rPr>
          <w:rFonts w:ascii="仿宋_GB2312" w:eastAsia="仿宋_GB2312" w:cs="仿宋_GB2312" w:hAnsi="方正仿宋简体"/>
          <w:b/>
          <w:bCs/>
          <w:sz w:val="32"/>
          <w:szCs w:val="32"/>
        </w:rPr>
        <w:t>1.</w:t>
      </w:r>
      <w:r>
        <w:rPr>
          <w:rFonts w:ascii="仿宋_GB2312" w:eastAsia="仿宋_GB2312" w:cs="仿宋_GB2312" w:hAnsi="方正仿宋简体" w:hint="eastAsia"/>
          <w:b/>
          <w:bCs/>
          <w:sz w:val="32"/>
          <w:szCs w:val="32"/>
        </w:rPr>
        <w:t>深入学习习近平法治思想</w:t>
      </w:r>
      <w:r>
        <w:rPr>
          <w:rFonts w:ascii="仿宋_GB2312" w:eastAsia="仿宋_GB2312" w:cs="仿宋_GB2312" w:hAnsi="方正仿宋简体"/>
          <w:b/>
          <w:bCs/>
          <w:sz w:val="32"/>
          <w:szCs w:val="32"/>
        </w:rPr>
        <w:t>。</w:t>
      </w:r>
      <w:r>
        <w:rPr>
          <w:rFonts w:ascii="仿宋_GB2312" w:eastAsia="仿宋_GB2312" w:cs="仿宋_GB2312" w:hAnsi="方正仿宋简体" w:hint="eastAsia"/>
          <w:sz w:val="32"/>
          <w:szCs w:val="32"/>
        </w:rPr>
        <w:t>把学习习近平法治思想作为首要政治任务，通过</w:t>
      </w:r>
      <w:r>
        <w:rPr>
          <w:rFonts w:ascii="仿宋_GB2312" w:eastAsia="仿宋_GB2312" w:cs="仿宋_GB2312" w:hAnsi="方正仿宋简体"/>
          <w:sz w:val="32"/>
          <w:szCs w:val="32"/>
        </w:rPr>
        <w:t>集中学习和个人自学</w:t>
      </w:r>
      <w:r>
        <w:rPr>
          <w:rFonts w:ascii="仿宋_GB2312" w:eastAsia="仿宋_GB2312" w:cs="仿宋_GB2312" w:hAnsi="方正仿宋简体" w:hint="eastAsia"/>
          <w:sz w:val="32"/>
          <w:szCs w:val="32"/>
        </w:rPr>
        <w:t>等形式，组织全体干部职工深入学习习近平法治思想的核心要义、精神实质、丰富内涵和实践要求，不断增强运用法治思维和法治方式推动工作的能力。</w:t>
      </w:r>
    </w:p>
    <w:p>
      <w:pPr>
        <w:spacing w:beforeAutospacing="0" w:afterAutospacing="0" w:line="600" w:lineRule="exact"/>
        <w:ind w:firstLineChars="200" w:firstLine="640"/>
        <w:rPr>
          <w:rFonts w:ascii="仿宋_GB2312" w:eastAsia="仿宋_GB2312" w:cs="仿宋_GB2312" w:hAnsi="方正仿宋简体" w:hint="eastAsia"/>
          <w:sz w:val="32"/>
          <w:szCs w:val="32"/>
        </w:rPr>
      </w:pPr>
      <w:r>
        <w:rPr>
          <w:rFonts w:ascii="仿宋_GB2312" w:eastAsia="仿宋_GB2312" w:cs="仿宋_GB2312" w:hAnsi="方正仿宋简体" w:hint="eastAsia"/>
          <w:b/>
          <w:bCs/>
          <w:sz w:val="32"/>
          <w:szCs w:val="32"/>
        </w:rPr>
        <w:t>2.加强民政法律法规学习培训。</w:t>
      </w:r>
      <w:r>
        <w:rPr>
          <w:rFonts w:ascii="仿宋_GB2312" w:eastAsia="仿宋_GB2312" w:cs="仿宋_GB2312" w:hAnsi="方正仿宋简体" w:hint="eastAsia"/>
          <w:sz w:val="32"/>
          <w:szCs w:val="32"/>
        </w:rPr>
        <w:t>制定年度学法计划，组织干部职工系统学习《中华人民共和国民法典》《社会团体登记管理条例》《社会救助暂行办法》《殡葬管理条例》等民政领域相关法律法规。开展法律知识考试和竞赛活动，不断提高干部职工的法律素养和业务水平。</w:t>
      </w:r>
    </w:p>
    <w:p>
      <w:pPr>
        <w:spacing w:beforeAutospacing="0" w:afterAutospacing="0" w:line="600" w:lineRule="exact"/>
        <w:ind w:firstLineChars="200" w:firstLine="640"/>
        <w:rPr>
          <w:rFonts w:ascii="楷体_GB2312" w:eastAsia="楷体_GB2312" w:cs="楷体_GB2312" w:hAnsi="方正仿宋简体" w:hint="eastAsia"/>
          <w:sz w:val="32"/>
          <w:szCs w:val="32"/>
        </w:rPr>
      </w:pPr>
      <w:r>
        <w:rPr>
          <w:rFonts w:ascii="楷体_GB2312" w:eastAsia="楷体_GB2312" w:cs="楷体_GB2312" w:hAnsi="方正仿宋简体" w:hint="eastAsia"/>
          <w:sz w:val="32"/>
          <w:szCs w:val="32"/>
        </w:rPr>
        <w:t>（三）规范行政决策程序，提高依法决策水平</w:t>
      </w:r>
    </w:p>
    <w:p>
      <w:pPr>
        <w:spacing w:beforeAutospacing="0" w:afterAutospacing="0" w:line="600" w:lineRule="exact"/>
        <w:ind w:firstLineChars="200" w:firstLine="640"/>
        <w:rPr>
          <w:rFonts w:ascii="仿宋_GB2312" w:eastAsia="仿宋_GB2312" w:cs="仿宋_GB2312" w:hAnsi="方正仿宋简体" w:hint="eastAsia"/>
          <w:sz w:val="32"/>
          <w:szCs w:val="32"/>
        </w:rPr>
      </w:pPr>
      <w:r>
        <w:rPr>
          <w:rFonts w:ascii="仿宋_GB2312" w:eastAsia="仿宋_GB2312" w:cs="仿宋_GB2312" w:hAnsi="方正仿宋简体"/>
          <w:b/>
          <w:bCs/>
          <w:sz w:val="32"/>
          <w:szCs w:val="32"/>
        </w:rPr>
        <w:t>1.</w:t>
      </w:r>
      <w:r>
        <w:rPr>
          <w:rFonts w:ascii="仿宋_GB2312" w:eastAsia="仿宋_GB2312" w:cs="仿宋_GB2312" w:hAnsi="方正仿宋简体" w:hint="eastAsia"/>
          <w:b/>
          <w:bCs/>
          <w:sz w:val="32"/>
          <w:szCs w:val="32"/>
        </w:rPr>
        <w:t>严格执行重大行政决策程序</w:t>
      </w:r>
      <w:r>
        <w:rPr>
          <w:rFonts w:ascii="仿宋_GB2312" w:eastAsia="仿宋_GB2312" w:cs="仿宋_GB2312" w:hAnsi="方正仿宋简体"/>
          <w:b/>
          <w:bCs/>
          <w:sz w:val="32"/>
          <w:szCs w:val="32"/>
        </w:rPr>
        <w:t>。</w:t>
      </w:r>
      <w:r>
        <w:rPr>
          <w:rFonts w:ascii="仿宋_GB2312" w:eastAsia="仿宋_GB2312" w:cs="仿宋_GB2312" w:hAnsi="方正仿宋简体" w:hint="eastAsia"/>
          <w:sz w:val="32"/>
          <w:szCs w:val="32"/>
        </w:rPr>
        <w:t>认真落实《重大行政决策程序暂行条例》，对涉及民政事业发展全局、关系人民群众切身利益的重大行政决策事项，严格履行公众参与、专家论证、风险评估、合法性审查、集体讨论决定等法定程序，确保决策的科学性、民主性和合法性。</w:t>
      </w:r>
    </w:p>
    <w:p>
      <w:pPr>
        <w:spacing w:beforeAutospacing="0" w:afterAutospacing="0" w:line="600" w:lineRule="exact"/>
        <w:ind w:firstLineChars="200" w:firstLine="640"/>
        <w:rPr>
          <w:rFonts w:ascii="仿宋_GB2312" w:eastAsia="仿宋_GB2312" w:cs="仿宋_GB2312" w:hAnsi="方正仿宋简体" w:hint="eastAsia"/>
          <w:sz w:val="32"/>
          <w:szCs w:val="32"/>
        </w:rPr>
      </w:pPr>
      <w:r>
        <w:rPr>
          <w:rFonts w:ascii="仿宋_GB2312" w:eastAsia="仿宋_GB2312" w:cs="仿宋_GB2312" w:hAnsi="方正仿宋简体" w:hint="eastAsia"/>
          <w:b/>
          <w:bCs/>
          <w:sz w:val="32"/>
          <w:szCs w:val="32"/>
        </w:rPr>
        <w:t>2.加强监督</w:t>
      </w:r>
      <w:r>
        <w:rPr>
          <w:rFonts w:ascii="仿宋_GB2312" w:eastAsia="仿宋_GB2312" w:cs="仿宋_GB2312" w:hAnsi="方正仿宋简体"/>
          <w:b/>
          <w:bCs/>
          <w:sz w:val="32"/>
          <w:szCs w:val="32"/>
        </w:rPr>
        <w:t>监管。</w:t>
      </w:r>
      <w:r>
        <w:rPr>
          <w:rFonts w:ascii="仿宋_GB2312" w:eastAsia="仿宋_GB2312" w:cs="仿宋_GB2312" w:hAnsi="方正仿宋简体" w:hint="eastAsia"/>
          <w:sz w:val="32"/>
          <w:szCs w:val="32"/>
        </w:rPr>
        <w:t>健全</w:t>
      </w:r>
      <w:r>
        <w:rPr>
          <w:rFonts w:ascii="仿宋_GB2312" w:eastAsia="仿宋_GB2312" w:cs="仿宋_GB2312" w:hAnsi="方正仿宋简体"/>
          <w:sz w:val="32"/>
          <w:szCs w:val="32"/>
        </w:rPr>
        <w:t>完善</w:t>
      </w:r>
      <w:r>
        <w:rPr>
          <w:rFonts w:ascii="仿宋_GB2312" w:eastAsia="仿宋_GB2312" w:cs="仿宋_GB2312" w:hAnsi="方正仿宋简体" w:hint="eastAsia"/>
          <w:sz w:val="32"/>
          <w:szCs w:val="32"/>
        </w:rPr>
        <w:t>内部监督机制，加强对</w:t>
      </w:r>
      <w:r>
        <w:rPr>
          <w:rFonts w:ascii="仿宋_GB2312" w:eastAsia="仿宋_GB2312" w:cs="仿宋_GB2312" w:hAnsi="方正仿宋简体"/>
          <w:sz w:val="32"/>
          <w:szCs w:val="32"/>
        </w:rPr>
        <w:t>养老机构、社会组织</w:t>
      </w:r>
      <w:r>
        <w:rPr>
          <w:rFonts w:ascii="仿宋_GB2312" w:eastAsia="仿宋_GB2312" w:cs="仿宋_GB2312" w:hAnsi="方正仿宋简体" w:hint="eastAsia"/>
          <w:sz w:val="32"/>
          <w:szCs w:val="32"/>
        </w:rPr>
        <w:t>等重点领域和关键环节的监督检查。加强对行政执法行为的监督检查，定期开展行政执法案卷评查，及时发现和纠正执法中存在的问题。</w:t>
      </w:r>
    </w:p>
    <w:p>
      <w:pPr>
        <w:spacing w:beforeAutospacing="0" w:afterAutospacing="0" w:line="600" w:lineRule="exact"/>
        <w:ind w:firstLineChars="200" w:firstLine="640"/>
        <w:rPr>
          <w:rFonts w:ascii="仿宋_GB2312" w:eastAsia="仿宋_GB2312" w:cs="仿宋_GB2312" w:hAnsi="方正仿宋简体" w:hint="eastAsia"/>
          <w:sz w:val="32"/>
          <w:szCs w:val="32"/>
        </w:rPr>
      </w:pPr>
      <w:r>
        <w:rPr>
          <w:rFonts w:ascii="仿宋_GB2312" w:eastAsia="仿宋_GB2312" w:cs="仿宋_GB2312" w:hAnsi="方正仿宋简体" w:hint="eastAsia"/>
          <w:b/>
          <w:bCs/>
          <w:sz w:val="32"/>
          <w:szCs w:val="32"/>
        </w:rPr>
        <w:t>3.接受社会监督。</w:t>
      </w:r>
      <w:r>
        <w:rPr>
          <w:rFonts w:ascii="仿宋_GB2312" w:eastAsia="仿宋_GB2312" w:cs="仿宋_GB2312" w:hAnsi="方正仿宋简体" w:hint="eastAsia"/>
          <w:sz w:val="32"/>
          <w:szCs w:val="32"/>
        </w:rPr>
        <w:t>通过政府网站、政务新媒体等渠道，及时公开民政工作信息，主动接受社会公众监督。畅通群众投诉举报渠道，设立投诉举报电话和邮箱，对群众反映的问题及时进行调查处理，并将处理结果反馈给投诉举报人，做到件件有回音、事事有着落</w:t>
      </w:r>
    </w:p>
    <w:p>
      <w:pPr>
        <w:spacing w:beforeAutospacing="0" w:afterAutospacing="0" w:line="600" w:lineRule="exact"/>
        <w:ind w:firstLineChars="200" w:firstLine="640"/>
        <w:rPr>
          <w:rFonts w:ascii="黑体" w:eastAsia="黑体" w:cs="黑体" w:hAnsi="黑体" w:hint="eastAsia"/>
          <w:sz w:val="32"/>
          <w:szCs w:val="32"/>
        </w:rPr>
      </w:pPr>
      <w:r>
        <w:rPr>
          <w:rFonts w:ascii="黑体" w:eastAsia="黑体" w:cs="黑体" w:hAnsi="黑体" w:hint="eastAsia"/>
          <w:sz w:val="32"/>
          <w:szCs w:val="32"/>
        </w:rPr>
        <w:t>二、存在的问题</w:t>
      </w:r>
    </w:p>
    <w:p>
      <w:pPr>
        <w:spacing w:beforeAutospacing="0" w:afterAutospacing="0" w:line="600" w:lineRule="exact"/>
        <w:ind w:firstLineChars="200" w:firstLine="640"/>
        <w:rPr>
          <w:rFonts w:ascii="仿宋_GB2312" w:eastAsia="仿宋_GB2312" w:cs="仿宋_GB2312" w:hAnsi="方正仿宋简体" w:hint="eastAsia"/>
          <w:sz w:val="32"/>
          <w:szCs w:val="32"/>
        </w:rPr>
      </w:pPr>
      <w:r>
        <w:rPr>
          <w:rFonts w:ascii="仿宋_GB2312" w:eastAsia="仿宋_GB2312" w:cs="仿宋_GB2312" w:hAnsi="方正仿宋简体" w:hint="eastAsia"/>
          <w:sz w:val="32"/>
          <w:szCs w:val="32"/>
        </w:rPr>
        <w:t>虽然我局在法治政府建设方面取得了一定成效，但也存在一些问题和不足，主要表现在以下几个方面：</w:t>
      </w:r>
    </w:p>
    <w:p>
      <w:pPr>
        <w:spacing w:beforeAutospacing="0" w:afterAutospacing="0" w:line="600" w:lineRule="exact"/>
        <w:ind w:firstLineChars="200" w:firstLine="640"/>
        <w:rPr>
          <w:rFonts w:ascii="仿宋_GB2312" w:eastAsia="仿宋_GB2312" w:cs="仿宋_GB2312" w:hAnsi="方正仿宋简体" w:hint="eastAsia"/>
          <w:sz w:val="32"/>
          <w:szCs w:val="32"/>
        </w:rPr>
      </w:pPr>
      <w:r>
        <w:rPr>
          <w:rFonts w:ascii="楷体_GB2312" w:eastAsia="楷体_GB2312" w:cs="楷体_GB2312" w:hAnsi="方正仿宋简体" w:hint="eastAsia"/>
          <w:sz w:val="32"/>
          <w:szCs w:val="32"/>
        </w:rPr>
        <w:t>（一）法治宣传教育的形式和内容还不够丰富。</w:t>
      </w:r>
      <w:r>
        <w:rPr>
          <w:rFonts w:ascii="仿宋_GB2312" w:eastAsia="仿宋_GB2312" w:cs="仿宋_GB2312" w:hAnsi="方正仿宋简体" w:hint="eastAsia"/>
          <w:sz w:val="32"/>
          <w:szCs w:val="32"/>
        </w:rPr>
        <w:t>法治宣传教育的针对性和实效性有待进一步提高，部分群众对民政法律法规和政策的知晓度还不够高。</w:t>
      </w:r>
    </w:p>
    <w:p>
      <w:pPr>
        <w:spacing w:beforeAutospacing="0" w:afterAutospacing="0" w:line="600" w:lineRule="exact"/>
        <w:ind w:firstLineChars="200" w:firstLine="640"/>
        <w:rPr>
          <w:rFonts w:ascii="仿宋_GB2312" w:eastAsia="仿宋_GB2312" w:cs="仿宋_GB2312" w:hAnsi="方正仿宋简体" w:hint="eastAsia"/>
          <w:sz w:val="32"/>
          <w:szCs w:val="32"/>
        </w:rPr>
      </w:pPr>
      <w:r>
        <w:rPr>
          <w:rFonts w:ascii="楷体_GB2312" w:eastAsia="楷体_GB2312" w:cs="楷体_GB2312" w:hAnsi="方正仿宋简体" w:hint="eastAsia"/>
          <w:sz w:val="32"/>
          <w:szCs w:val="32"/>
        </w:rPr>
        <w:t>（二）进一步加强法治宣传教育。</w:t>
      </w:r>
      <w:r>
        <w:rPr>
          <w:rFonts w:ascii="仿宋_GB2312" w:eastAsia="仿宋_GB2312" w:cs="仿宋_GB2312" w:hAnsi="方正仿宋简体" w:hint="eastAsia"/>
          <w:sz w:val="32"/>
          <w:szCs w:val="32"/>
        </w:rPr>
        <w:t>创新法治宣传教育形式和内容，结合民政工作实际，开展形式多样、丰富多彩的法治宣传活动，提高法治宣传教育的针对性和实效性。加强对重点人群、重点领域的法治宣传教育，提高社会公众对民政法律法规和政策的知晓度和遵守度。</w:t>
      </w:r>
    </w:p>
    <w:p>
      <w:pPr>
        <w:spacing w:beforeAutospacing="0" w:afterAutospacing="0" w:line="600" w:lineRule="exact"/>
        <w:ind w:firstLineChars="200" w:firstLine="640"/>
        <w:rPr>
          <w:rFonts w:ascii="仿宋_GB2312" w:eastAsia="仿宋_GB2312" w:cs="仿宋_GB2312" w:hAnsi="方正仿宋简体" w:hint="eastAsia"/>
          <w:sz w:val="32"/>
          <w:szCs w:val="32"/>
        </w:rPr>
      </w:pPr>
      <w:r>
        <w:rPr>
          <w:rFonts w:ascii="楷体_GB2312" w:eastAsia="楷体_GB2312" w:cs="楷体_GB2312" w:hAnsi="方正仿宋简体" w:hint="eastAsia"/>
          <w:sz w:val="32"/>
          <w:szCs w:val="32"/>
        </w:rPr>
        <w:t>（三）进一步加强法治工作队伍建设。</w:t>
      </w:r>
      <w:r>
        <w:rPr>
          <w:rFonts w:ascii="仿宋_GB2312" w:eastAsia="仿宋_GB2312" w:cs="仿宋_GB2312" w:hAnsi="方正仿宋简体" w:hint="eastAsia"/>
          <w:sz w:val="32"/>
          <w:szCs w:val="32"/>
        </w:rPr>
        <w:t>加大法治工作专业人才培养和引进力度，充实法治工作队伍力量。加强对法治工作人员的业务培训和考核，提高法治工作人员的综合素质和工作能力。</w:t>
      </w:r>
    </w:p>
    <w:p>
      <w:pPr>
        <w:spacing w:beforeAutospacing="0" w:afterAutospacing="0" w:line="600" w:lineRule="exact"/>
        <w:ind w:firstLineChars="200" w:firstLine="640"/>
        <w:rPr>
          <w:rFonts w:ascii="黑体" w:eastAsia="黑体" w:cs="黑体" w:hAnsi="黑体" w:hint="eastAsia"/>
          <w:sz w:val="32"/>
          <w:szCs w:val="32"/>
        </w:rPr>
      </w:pPr>
      <w:r>
        <w:rPr>
          <w:rFonts w:ascii="黑体" w:eastAsia="黑体" w:cs="黑体" w:hAnsi="黑体" w:hint="eastAsia"/>
          <w:sz w:val="32"/>
          <w:szCs w:val="32"/>
        </w:rPr>
        <w:t>三、</w:t>
      </w:r>
      <w:r>
        <w:rPr>
          <w:rFonts w:ascii="黑体" w:eastAsia="黑体" w:cs="黑体" w:hAnsi="黑体"/>
          <w:sz w:val="32"/>
          <w:szCs w:val="32"/>
        </w:rPr>
        <w:t>下一步</w:t>
      </w:r>
      <w:r>
        <w:rPr>
          <w:rFonts w:ascii="黑体" w:eastAsia="黑体" w:cs="黑体" w:hAnsi="黑体" w:hint="eastAsia"/>
          <w:sz w:val="32"/>
          <w:szCs w:val="32"/>
        </w:rPr>
        <w:t>工作</w:t>
      </w:r>
      <w:r>
        <w:rPr>
          <w:rFonts w:ascii="黑体" w:eastAsia="黑体" w:cs="黑体" w:hAnsi="黑体"/>
          <w:sz w:val="32"/>
          <w:szCs w:val="32"/>
        </w:rPr>
        <w:t>谋划</w:t>
      </w:r>
    </w:p>
    <w:p>
      <w:pPr>
        <w:spacing w:beforeAutospacing="0" w:afterAutospacing="0" w:line="600" w:lineRule="exact"/>
        <w:ind w:firstLineChars="200" w:firstLine="640"/>
        <w:rPr>
          <w:rFonts w:ascii="仿宋_GB2312" w:eastAsia="仿宋_GB2312" w:cs="仿宋_GB2312" w:hAnsi="方正仿宋简体"/>
          <w:sz w:val="32"/>
          <w:szCs w:val="32"/>
        </w:rPr>
      </w:pPr>
      <w:r>
        <w:rPr>
          <w:rFonts w:ascii="楷体_GB2312" w:eastAsia="楷体_GB2312" w:cs="楷体_GB2312" w:hAnsi="方正仿宋简体" w:hint="eastAsia"/>
          <w:sz w:val="32"/>
          <w:szCs w:val="32"/>
        </w:rPr>
        <w:t>（一）深入持久开展法治教育。</w:t>
      </w:r>
      <w:r>
        <w:rPr>
          <w:rFonts w:ascii="仿宋_GB2312" w:eastAsia="仿宋_GB2312" w:cs="仿宋_GB2312" w:hAnsi="方正仿宋简体" w:hint="eastAsia"/>
          <w:sz w:val="32"/>
          <w:szCs w:val="32"/>
        </w:rPr>
        <w:t>通过学习培训、宣传教育增强民政系统干部职工学法、懂法、用法、守法意识，强化法制观念，提高依法行政、依法管理的能力，促进各项民政工作健康发展。</w:t>
      </w:r>
    </w:p>
    <w:p>
      <w:pPr>
        <w:spacing w:beforeAutospacing="0" w:afterAutospacing="0" w:line="600" w:lineRule="exact"/>
        <w:ind w:left="0" w:firstLineChars="200" w:firstLine="640"/>
        <w:rPr>
          <w:rFonts w:ascii="仿宋_GB2312" w:eastAsia="仿宋_GB2312" w:cs="仿宋_GB2312" w:hAnsi="方正仿宋简体"/>
          <w:sz w:val="32"/>
          <w:szCs w:val="32"/>
        </w:rPr>
      </w:pPr>
      <w:r>
        <w:rPr>
          <w:rFonts w:ascii="楷体_GB2312" w:eastAsia="楷体_GB2312" w:cs="楷体_GB2312" w:hAnsi="方正仿宋简体" w:hint="eastAsia"/>
          <w:sz w:val="32"/>
          <w:szCs w:val="32"/>
        </w:rPr>
        <w:t>（二）继续加大政务信息公开力度。</w:t>
      </w:r>
      <w:r>
        <w:rPr>
          <w:rFonts w:ascii="仿宋_GB2312" w:eastAsia="仿宋_GB2312" w:cs="仿宋_GB2312" w:hAnsi="方正仿宋简体" w:hint="eastAsia"/>
          <w:sz w:val="32"/>
          <w:szCs w:val="32"/>
        </w:rPr>
        <w:t>不断拓宽信息公开范围和内容，及时、准确、全面、具体地公开政务信息。用好“双随机、一公开”监管系统、行政执法公示平台、“互联网+监管”系统平台，不断提高我局政务信息的透明度。</w:t>
      </w:r>
    </w:p>
    <w:p>
      <w:pPr>
        <w:spacing w:beforeAutospacing="0" w:afterAutospacing="0" w:line="600" w:lineRule="exact"/>
        <w:ind w:left="0" w:firstLineChars="200" w:firstLine="640"/>
        <w:rPr>
          <w:rFonts w:ascii="仿宋_GB2312" w:eastAsia="仿宋_GB2312" w:cs="仿宋_GB2312" w:hAnsi="方正仿宋简体"/>
          <w:sz w:val="32"/>
          <w:szCs w:val="32"/>
        </w:rPr>
      </w:pPr>
      <w:r>
        <w:rPr>
          <w:rFonts w:ascii="楷体_GB2312" w:eastAsia="楷体_GB2312" w:cs="楷体_GB2312" w:hAnsi="方正仿宋简体" w:hint="eastAsia"/>
          <w:sz w:val="32"/>
          <w:szCs w:val="32"/>
        </w:rPr>
        <w:t>（三）不断完善民政规范性文件。</w:t>
      </w:r>
      <w:r>
        <w:rPr>
          <w:rFonts w:ascii="仿宋_GB2312" w:eastAsia="仿宋_GB2312" w:cs="仿宋_GB2312" w:hAnsi="方正仿宋简体" w:hint="eastAsia"/>
          <w:sz w:val="32"/>
          <w:szCs w:val="32"/>
        </w:rPr>
        <w:t>根据国家有关法律、法规和部门规章及上级有关规定，结合民政工作实际，不断完善本部门的规范性文件，促进全县民政工作依法行政、规范运作，推动我县民政事业</w:t>
      </w:r>
      <w:r>
        <w:rPr>
          <w:rFonts w:ascii="仿宋_GB2312" w:eastAsia="仿宋_GB2312" w:cs="仿宋_GB2312" w:hAnsi="方正仿宋简体"/>
          <w:sz w:val="32"/>
          <w:szCs w:val="32"/>
        </w:rPr>
        <w:t>再</w:t>
      </w:r>
      <w:r>
        <w:rPr>
          <w:rFonts w:ascii="仿宋_GB2312" w:eastAsia="仿宋_GB2312" w:cs="仿宋_GB2312" w:hAnsi="方正仿宋简体" w:hint="eastAsia"/>
          <w:sz w:val="32"/>
          <w:szCs w:val="32"/>
        </w:rPr>
        <w:t>上新台阶。</w:t>
      </w:r>
    </w:p>
    <w:p>
      <w:pPr>
        <w:spacing w:beforeAutospacing="0" w:afterAutospacing="0" w:line="600" w:lineRule="exact"/>
        <w:rPr>
          <w:rFonts w:ascii="仿宋_GB2312" w:eastAsia="仿宋_GB2312" w:cs="仿宋_GB2312" w:hAnsi="方正仿宋简体"/>
          <w:sz w:val="32"/>
          <w:szCs w:val="32"/>
        </w:rPr>
      </w:pPr>
    </w:p>
    <w:p>
      <w:pPr>
        <w:spacing w:beforeAutospacing="0" w:afterAutospacing="0" w:line="600" w:lineRule="exact"/>
        <w:rPr>
          <w:rFonts w:ascii="仿宋_GB2312" w:eastAsia="仿宋_GB2312" w:cs="仿宋_GB2312" w:hAnsi="方正仿宋简体" w:hint="eastAsia"/>
          <w:sz w:val="32"/>
          <w:szCs w:val="32"/>
        </w:rPr>
      </w:pPr>
    </w:p>
    <w:p>
      <w:pPr>
        <w:spacing w:beforeAutospacing="0" w:afterAutospacing="0" w:line="600" w:lineRule="exact"/>
        <w:jc w:val="center"/>
        <w:rPr>
          <w:rFonts w:ascii="仿宋_GB2312" w:eastAsia="仿宋_GB2312" w:cs="仿宋_GB2312" w:hAnsi="方正仿宋简体" w:hint="eastAsia"/>
          <w:sz w:val="32"/>
          <w:szCs w:val="32"/>
        </w:rPr>
      </w:pPr>
      <w:r>
        <w:rPr>
          <w:rFonts w:ascii="仿宋_GB2312" w:eastAsia="仿宋_GB2312" w:cs="仿宋_GB2312" w:hAnsi="方正仿宋简体" w:hint="eastAsia"/>
          <w:sz w:val="32"/>
          <w:szCs w:val="32"/>
        </w:rPr>
        <w:t xml:space="preserve">                                赵县民政局</w:t>
      </w:r>
    </w:p>
    <w:p>
      <w:pPr>
        <w:spacing w:beforeAutospacing="0" w:afterAutospacing="0" w:line="600" w:lineRule="exact"/>
        <w:ind w:firstLineChars="1800" w:firstLine="5760"/>
        <w:rPr>
          <w:rFonts w:ascii="仿宋_GB2312" w:eastAsia="仿宋_GB2312" w:cs="仿宋_GB2312" w:hAnsi="方正仿宋简体" w:hint="eastAsia"/>
          <w:sz w:val="32"/>
          <w:szCs w:val="32"/>
        </w:rPr>
      </w:pPr>
      <w:r>
        <w:rPr>
          <w:rFonts w:ascii="仿宋_GB2312" w:eastAsia="仿宋_GB2312" w:cs="仿宋_GB2312" w:hAnsi="方正仿宋简体" w:hint="eastAsia"/>
          <w:sz w:val="32"/>
          <w:szCs w:val="32"/>
        </w:rPr>
        <w:t>202</w:t>
      </w:r>
      <w:r>
        <w:rPr>
          <w:rFonts w:ascii="仿宋_GB2312" w:eastAsia="仿宋_GB2312" w:cs="仿宋_GB2312" w:hAnsi="方正仿宋简体" w:hint="eastAsia"/>
          <w:sz w:val="32"/>
          <w:szCs w:val="32"/>
          <w:lang w:val="en-US" w:eastAsia="zh-CN"/>
        </w:rPr>
        <w:t>6</w:t>
      </w:r>
      <w:r>
        <w:rPr>
          <w:rFonts w:ascii="仿宋_GB2312" w:eastAsia="仿宋_GB2312" w:cs="仿宋_GB2312" w:hAnsi="方正仿宋简体" w:hint="eastAsia"/>
          <w:sz w:val="32"/>
          <w:szCs w:val="32"/>
        </w:rPr>
        <w:t>年</w:t>
      </w:r>
      <w:r>
        <w:rPr>
          <w:rFonts w:ascii="仿宋_GB2312" w:eastAsia="仿宋_GB2312" w:cs="仿宋_GB2312" w:hAnsi="方正仿宋简体" w:hint="eastAsia"/>
          <w:sz w:val="32"/>
          <w:szCs w:val="32"/>
          <w:lang w:val="en-US" w:eastAsia="zh-CN"/>
        </w:rPr>
        <w:t>1</w:t>
      </w:r>
      <w:r>
        <w:rPr>
          <w:rFonts w:ascii="仿宋_GB2312" w:eastAsia="仿宋_GB2312" w:cs="仿宋_GB2312" w:hAnsi="方正仿宋简体" w:hint="eastAsia"/>
          <w:sz w:val="32"/>
          <w:szCs w:val="32"/>
        </w:rPr>
        <w:t>月</w:t>
      </w:r>
      <w:r>
        <w:rPr>
          <w:rFonts w:ascii="仿宋_GB2312" w:eastAsia="仿宋_GB2312" w:cs="仿宋_GB2312" w:hAnsi="方正仿宋简体" w:hint="eastAsia"/>
          <w:sz w:val="32"/>
          <w:szCs w:val="32"/>
          <w:lang w:val="en-US" w:eastAsia="zh-CN"/>
        </w:rPr>
        <w:t>8</w:t>
      </w:r>
      <w:r>
        <w:rPr>
          <w:rFonts w:ascii="仿宋_GB2312" w:eastAsia="仿宋_GB2312" w:cs="仿宋_GB2312" w:hAnsi="方正仿宋简体" w:hint="eastAsia"/>
          <w:sz w:val="32"/>
          <w:szCs w:val="32"/>
        </w:rPr>
        <w:t>日</w:t>
      </w:r>
    </w:p>
    <w:sectPr>
      <w:pgSz w:w="11906" w:h="16839"/>
      <w:pgMar w:top="1700" w:right="1587" w:bottom="1700" w:left="1587" w:header="851" w:footer="992" w:gutter="0"/>
      <w:cols w:num="1" w:space="425"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方正小标宋简体">
    <w:panose1 w:val="03000509000000000000"/>
    <w:charset w:val="86"/>
    <w:family w:val="script"/>
    <w:pitch w:val="variable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variable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方正仿宋简体">
    <w:altName w:val="微软雅黑"/>
    <w:panose1 w:val="02000000000000000000"/>
    <w:charset w:val="86"/>
    <w:family w:val="script"/>
    <w:pitch w:val="variable"/>
    <w:sig w:usb0="00000000" w:usb1="00000000" w:usb2="00000012" w:usb3="00000000" w:csb0="00040001" w:csb1="00000000"/>
  </w:font>
  <w:font w:name="黑体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variable"/>
    <w:sig w:usb0="00000000" w:usb1="00000000" w:usb2="00000000" w:usb3="00000000" w:csb0="00040000" w:csb1="00000000"/>
  </w:font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variable"/>
    <w:sig w:usb0="00000003" w:usb1="288F0000" w:usb2="00000006" w:usb3="00000000" w:csb0="00040001" w:csb1="00000000"/>
  </w:font>
  <w:font w:name="Arial">
    <w:panose1 w:val="020B0604020202020204"/>
    <w:charset w:val="01"/>
    <w:family w:val="swiss"/>
    <w:pitch w:val="variable"/>
    <w:sig w:usb0="E0002AFF" w:usb1="C0007843" w:usb2="00000009" w:usb3="00000000" w:csb0="400001FF" w:csb1="FFFF0000"/>
  </w:font>
  <w:font w:name="Calibri">
    <w:panose1 w:val="020F0502020204030204"/>
    <w:charset w:val="00"/>
    <w:family w:val="swiss"/>
    <w:pitch w:val="variable"/>
    <w:sig w:usb0="E10002FF" w:usb1="4000ACFF" w:usb2="00000009" w:usb3="00000000" w:csb0="2000019F" w:csb1="00000000"/>
  </w:font>
</w:fonts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124"/>
  <w:displayBackgroundShape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noPunctuationKerning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ulTrailSpace/>
    <w:doNotExpandShiftReturn/>
    <w:adjustLineHeightInTable/>
    <w:compatSetting w:name="compatibilityMode" w:uri="http://schemas.microsoft.com/office/word" w:val="15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Arial"/>
        <w:lang w:val="en-US" w:eastAsia="zh-CN" w:bidi="ar-SA"/>
      </w:rPr>
    </w:rPrDefault>
    <w:pPrDefault/>
  </w:docDefaults>
  <w:style w:type="paragraph" w:default="1" w:styleId="0">
    <w:name w:val="Normal"/>
    <w:qFormat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styleId="1">
    <w:name w:val="heading 1"/>
    <w:qFormat/>
    <w:basedOn w:val="0"/>
    <w:next w:val="0"/>
    <w:link w:val="1Char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customStyle="1" w:styleId="1Char">
    <w:name w:val="heading 1 Char"/>
    <w:basedOn w:val="10"/>
    <w:link w:val="1"/>
    <w:rPr>
      <w:rFonts w:ascii="Calibri" w:eastAsia="宋体" w:cs="Arial" w:hAnsi="Calibri"/>
      <w:b/>
      <w:bCs/>
      <w:kern w:val="44"/>
      <w:sz w:val="44"/>
      <w:szCs w:val="44"/>
      <w:lang w:val="en-US" w:eastAsia="zh-CN" w:bidi="ar-SA"/>
    </w:rPr>
  </w:style>
  <w:style w:type="paragraph" w:styleId="2">
    <w:name w:val="heading 2"/>
    <w:qFormat/>
    <w:basedOn w:val="0"/>
    <w:next w:val="0"/>
    <w:link w:val="2Char"/>
    <w:pPr>
      <w:keepNext/>
      <w:keepLines/>
      <w:spacing w:before="260" w:after="260" w:line="415" w:lineRule="auto"/>
      <w:outlineLvl w:val="1"/>
    </w:pPr>
    <w:rPr>
      <w:rFonts w:ascii="Times New Roman" w:eastAsia="黑体" w:hAnsi="Times New Roman"/>
      <w:b/>
      <w:bCs/>
      <w:sz w:val="32"/>
      <w:szCs w:val="32"/>
    </w:rPr>
  </w:style>
  <w:style w:type="character" w:customStyle="1" w:styleId="2Char">
    <w:name w:val="heading 2 Char"/>
    <w:basedOn w:val="10"/>
    <w:link w:val="2"/>
    <w:rPr>
      <w:rFonts w:ascii="Times New Roman" w:eastAsia="黑体" w:cs="Arial" w:hAnsi="Times New Roman"/>
      <w:b/>
      <w:bCs/>
      <w:kern w:val="2"/>
      <w:sz w:val="32"/>
      <w:szCs w:val="32"/>
      <w:lang w:val="en-US" w:eastAsia="zh-CN" w:bidi="ar-SA"/>
    </w:rPr>
  </w:style>
  <w:style w:type="paragraph" w:styleId="3">
    <w:name w:val="heading 3"/>
    <w:qFormat/>
    <w:basedOn w:val="0"/>
    <w:next w:val="0"/>
    <w:link w:val="3Char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customStyle="1" w:styleId="3Char">
    <w:name w:val="heading 3 Char"/>
    <w:basedOn w:val="10"/>
    <w:link w:val="3"/>
    <w:rPr>
      <w:rFonts w:ascii="Calibri" w:eastAsia="宋体" w:cs="Arial" w:hAnsi="Calibri"/>
      <w:b/>
      <w:bCs/>
      <w:kern w:val="2"/>
      <w:sz w:val="32"/>
      <w:szCs w:val="32"/>
      <w:lang w:val="en-US" w:eastAsia="zh-CN" w:bidi="ar-SA"/>
    </w:rPr>
  </w:style>
  <w:style w:type="character" w:default="1" w:styleId="10">
    <w:name w:val="Default Paragraph Font"/>
    <w:qFormat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styles" Target="styles.xml"/><Relationship Id="rId3" Type="http://schemas.openxmlformats.org/officeDocument/2006/relationships/fontTable" Target="fontTable.xml"/><Relationship Id="rId4" Type="http://schemas.openxmlformats.org/officeDocument/2006/relationships/customXml" Target="../customXml/item1.xml"/><Relationship Id="rId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 主题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主题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 主题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1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1"/>
        </a:gradFill>
      </a:fillStyleLst>
      <a:lnStyleLst>
        <a:ln w="6350" cmpd="sng" cap="flat">
          <a:solidFill>
            <a:schemeClr val="phClr"/>
          </a:solidFill>
          <a:prstDash val="solid"/>
          <a:miter/>
        </a:ln>
        <a:ln w="12700" cmpd="sng" cap="flat">
          <a:solidFill>
            <a:schemeClr val="phClr"/>
          </a:solidFill>
          <a:prstDash val="solid"/>
          <a:miter/>
        </a:ln>
        <a:ln w="19050" cmpd="sng" cap="flat">
          <a:solidFill>
            <a:schemeClr val="phClr"/>
          </a:solidFill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sx="100000" sy="100000" algn="ctr" rotWithShape="0" blurRad="57150" dist="19050" dir="5400000">
              <a:srgbClr val="000000">
                <a:alpha val="62745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1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3678 0 1 1 1 1"/>
    <sectPr/>
  </customProps>
</customData>
</file>

<file path=customXml/itemProps1.xml><?xml version="1.0" encoding="utf-8"?>
<ds:datastoreItem xmlns:ds="http://schemas.openxmlformats.org/officeDocument/2006/customXml" ds:itemID="{6C592F3A-600F-4BBB-A335-EFA706406DE4}">
  <ds:schemaRefs>
    <ds:schemaRef ds:uri="http://www.yozosoft.com.cn/officeDocument/2016/customData"/>
  </ds:schemaRefs>
</ds:datastoreItem>
</file>

<file path=docProps/app.xml><?xml version="1.0" encoding="utf-8"?>
<Properties xmlns="http://schemas.openxmlformats.org/officeDocument/2006/extended-properties">
  <Template>Normal.eit</Template>
  <TotalTime>111</TotalTime>
  <Application>WPS_Yozo_Office9.0.5727.102ZH.HE25</Application>
  <Pages>4</Pages>
  <Words>0</Words>
  <Characters>1291</Characters>
  <Lines>0</Lines>
  <Paragraphs>28</Paragraphs>
  <CharactersWithSpaces>1722</CharactersWithSpaces>
  <Company>Yozosoft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User274</dc:creator>
  <cp:lastModifiedBy>Administrator</cp:lastModifiedBy>
  <cp:revision>10</cp:revision>
  <cp:lastPrinted>2025-04-29T08:36:00Z</cp:lastPrinted>
  <dcterms:created xsi:type="dcterms:W3CDTF">2021-05-08T07:28:00Z</dcterms:created>
  <dcterms:modified xsi:type="dcterms:W3CDTF">2026-01-08T02:33:38Z</dcterms:modified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SOTemplateDocerSaveRecord">
    <vt:lpwstr>eyJoZGlkIjoiZGQzNDg0NzIxNzAxYmRiMTEwN2Y4YmUyZmUxMWU0M2UiLCJ1c2VySWQiOiIxMjk2MTM3NDM3In0=</vt:lpwstr>
  </property>
  <property fmtid="{D5CDD505-2E9C-101B-9397-08002B2CF9AE}" pid="3" name="KSOProductBuildVer">
    <vt:lpwstr>2052-12.1.0.24034</vt:lpwstr>
  </property>
  <property fmtid="{D5CDD505-2E9C-101B-9397-08002B2CF9AE}" pid="4" name="ICV">
    <vt:lpwstr>C115DD32AFAE45D0BCA63AE95E204DF3_12</vt:lpwstr>
  </property>
</Properties>
</file>