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2555B2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国务院关税税则委员会关于发布</w:t>
      </w:r>
    </w:p>
    <w:p w14:paraId="467B2592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《中华人民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共和国进出口税则（2026）》的公告</w:t>
      </w:r>
    </w:p>
    <w:p w14:paraId="03AF6B82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文号：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税委会公告2025年第12号</w:t>
      </w:r>
    </w:p>
    <w:p w14:paraId="5620AF5F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根据《中华人民共和国关税法》相关规定，现公布《中华人民共和国进出口税则（2026）》，自2026年1月1日起实施。 </w:t>
      </w:r>
    </w:p>
    <w:p w14:paraId="590F4A78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附件：中华人民共和国进出口税则（2026）  </w:t>
      </w:r>
    </w:p>
    <w:p w14:paraId="36FDB014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both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 </w:t>
      </w:r>
    </w:p>
    <w:p w14:paraId="18E22F3F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国务院关税税则委员会 </w:t>
      </w:r>
    </w:p>
    <w:p w14:paraId="5BD62715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2025年12月31日 </w:t>
      </w:r>
    </w:p>
    <w:p w14:paraId="6CDF964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551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2026-01-07T00:43:56Z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0D00FAF7E0144709913A2BA28570FAF3_12</vt:lpwstr>
  </property>
</Properties>
</file>