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5B6B6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统筹国内国际两个大局 扎实推动高质量发展 2026年1月1日起我国调整部分商品关税税率税目</w:t>
      </w:r>
    </w:p>
    <w:p w14:paraId="064BC07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国务院关税税则委员会发布《2026年关税调整方案》（以下简称《方案》），将自2026年1月1日起实施。《方案》以习近平新时代中国特色社会主义思想为指导，深入贯彻党的二十大和二十届历次全会精神，完整准确全面贯彻新发展理念，加快构建新发展格局，坚持稳中求进工作总基调，科学调整进口暂定税率，优化税目设置，继续实施协定税率和特惠税率，有利于引领发展新质生产力，满足人民日益增长的美好生活需要，扩大高水平对外开放，推动高质量发展。 </w:t>
      </w:r>
    </w:p>
    <w:p w14:paraId="690FCE5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增强国内国际两个市场两种资源的联动效应，扩大优质商品供给，2026年对935项商品实施低于最惠国税率的进口暂定税率。一是推动高水平科技自立自强，促进建设现代化产业体系，降低压力机用数控液压气垫、异型复合接点带等关键零部件、先进材料的进口关税。二是助力推进经济社会发展全面绿色转型，降低锂离子电池用再生黑粉、未焙烧的黄铁矿等资源性商品的进口关税。三是加大保障和改善民生力度，助力加快建设健康中国，降低人造血管、部分传染病的诊断试剂盒等医疗产品的进口关税。此外，为增强国内大循环内生动力，根据国内产业发展和供需情况变化，在我国加入世界贸易组织承诺范围内，取消微型电机、印花机、硫酸等商品的进口暂定税率，恢复实施最惠国税率。  </w:t>
      </w:r>
    </w:p>
    <w:p w14:paraId="3C41E9E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为服务科技发展和技术进步，支持循环经济和林下经济发展，2026年增列智能仿生机器人、生物航空煤油、林下山参等本国子目。调整后，税则税目总数为8972个。  </w:t>
      </w:r>
    </w:p>
    <w:p w14:paraId="6C9E0AD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为持续深化经贸合作，促进区域融合发展，2026年根据我与34个贸易伙伴签署的24项自由贸易协定和优惠贸易安排，继续对原产于上述贸易伙伴的部分进口货物实施协定税率。  </w:t>
      </w:r>
    </w:p>
    <w:p w14:paraId="43818D4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为促进与最不发达国家的经贸合作，帮助最不发达国家发展，2026年继续给予43个与我建交的最不发达国家100%税目产品零关税待遇；根据亚太贸易协定以及我与有关东盟成员国政府间换文协议，继续对原产于孟加拉国、老挝、柬埔寨、缅甸的部分进口货物实施特惠税率。</w:t>
      </w:r>
    </w:p>
    <w:p w14:paraId="75E231C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DF3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2026-01-04T01:52:13Z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FA3338BB0FB442739AA19C4E5448C8E2_12</vt:lpwstr>
  </property>
</Properties>
</file>