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252740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center"/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关于科威特籍的应税船舶适用船舶吨税优惠税率的公告</w:t>
      </w:r>
    </w:p>
    <w:p w14:paraId="62A6B4ED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center"/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eastAsia="zh-CN"/>
        </w:rPr>
        <w:t>文号：</w:t>
      </w:r>
      <w:r>
        <w:rPr>
          <w:rFonts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财政部 海关总署公告2025年第13号</w:t>
      </w:r>
    </w:p>
    <w:p w14:paraId="3219C866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根据《中华人民共和国船舶吨税法》和《中华人民共和国政府和科威特国政府海运协定》的有关规定，自2025年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12月9日起，科威特籍的应税船舶适用船舶吨税优惠税率。 </w:t>
      </w:r>
    </w:p>
    <w:p w14:paraId="5A254229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  </w:t>
      </w:r>
    </w:p>
    <w:p w14:paraId="6C900FE8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财政部 海关总署 </w:t>
      </w:r>
    </w:p>
    <w:p w14:paraId="4C3BBE65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2025年12月1日</w:t>
      </w:r>
    </w:p>
    <w:p w14:paraId="1FB582B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BFF1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承诺</cp:lastModifiedBy>
  <dcterms:modified xsi:type="dcterms:W3CDTF">2025-12-17T01:26:38Z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eyJoZGlkIjoiMGRhYzNjZjU0NmIxOTM1MGM3YTEyY2IwMTA4MTJiYWIiLCJ1c2VySWQiOiIzNzY2MDA1MzgifQ==</vt:lpwstr>
  </property>
  <property fmtid="{D5CDD505-2E9C-101B-9397-08002B2CF9AE}" pid="4" name="ICV">
    <vt:lpwstr>4014A4DA672648DCB89812F1D33D0BF9_12</vt:lpwstr>
  </property>
</Properties>
</file>