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26AE97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adjustRightInd/>
        <w:snapToGrid/>
        <w:spacing w:line="560" w:lineRule="exact"/>
        <w:jc w:val="both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赵县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农业农村局</w:t>
      </w:r>
    </w:p>
    <w:p w14:paraId="2FE8A627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adjustRightInd/>
        <w:snapToGrid/>
        <w:spacing w:line="560" w:lineRule="exact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行政处罚决定书</w:t>
      </w:r>
    </w:p>
    <w:p w14:paraId="073CD5C7">
      <w:pPr>
        <w:widowControl/>
        <w:jc w:val="center"/>
        <w:textAlignment w:val="baseline"/>
        <w:rPr>
          <w:rFonts w:hint="eastAsia" w:ascii="&amp;quot" w:hAnsi="&amp;quot" w:cs="宋体"/>
          <w:kern w:val="0"/>
          <w:sz w:val="24"/>
        </w:rPr>
      </w:pPr>
      <w:r>
        <w:rPr>
          <w:rFonts w:hint="eastAsia" w:ascii="宋体" w:hAnsi="宋体" w:cs="宋体"/>
          <w:kern w:val="0"/>
          <w:sz w:val="32"/>
          <w:szCs w:val="32"/>
          <w:shd w:val="clear" w:color="auto" w:fill="FFFFFF"/>
          <w:lang w:val="en-US" w:eastAsia="zh-CN"/>
        </w:rPr>
        <w:t>赵农(</w:t>
      </w:r>
      <w:r>
        <w:rPr>
          <w:rFonts w:hint="eastAsia" w:ascii="宋体" w:hAnsi="宋体" w:cs="宋体"/>
          <w:kern w:val="0"/>
          <w:sz w:val="32"/>
          <w:szCs w:val="32"/>
          <w:u w:val="none"/>
          <w:shd w:val="clear" w:color="auto" w:fill="FFFFFF"/>
          <w:lang w:val="en-US" w:eastAsia="zh-CN"/>
        </w:rPr>
        <w:t>动监)罚</w:t>
      </w:r>
      <w:r>
        <w:rPr>
          <w:rFonts w:hint="eastAsia" w:ascii="仿宋_GB2312" w:hAnsi="仿宋_GB2312" w:eastAsia="仿宋_GB2312" w:cs="宋体-18030"/>
          <w:sz w:val="32"/>
          <w:szCs w:val="32"/>
        </w:rPr>
        <w:t>〔</w:t>
      </w:r>
      <w:r>
        <w:rPr>
          <w:rFonts w:hint="eastAsia" w:ascii="仿宋_GB2312" w:hAnsi="仿宋_GB2312" w:eastAsia="仿宋_GB2312" w:cs="宋体-18030"/>
          <w:sz w:val="32"/>
          <w:szCs w:val="32"/>
          <w:lang w:val="en-US" w:eastAsia="zh-CN"/>
        </w:rPr>
        <w:t>202</w:t>
      </w:r>
      <w:r>
        <w:rPr>
          <w:rFonts w:ascii="仿宋_GB2312" w:hAnsi="仿宋_GB2312" w:eastAsia="仿宋_GB2312" w:cs="宋体-18030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宋体-18030"/>
          <w:sz w:val="32"/>
          <w:szCs w:val="32"/>
        </w:rPr>
        <w:t>〕</w:t>
      </w:r>
      <w:r>
        <w:rPr>
          <w:rFonts w:ascii="仿宋_GB2312" w:hAnsi="仿宋_GB2312" w:eastAsia="仿宋_GB2312" w:cs="宋体-18030"/>
          <w:sz w:val="32"/>
          <w:szCs w:val="32"/>
        </w:rPr>
        <w:t>8</w:t>
      </w:r>
      <w:r>
        <w:rPr>
          <w:rFonts w:hint="eastAsia" w:ascii="宋体" w:hAnsi="宋体" w:cs="宋体"/>
          <w:kern w:val="0"/>
          <w:sz w:val="32"/>
          <w:szCs w:val="32"/>
          <w:shd w:val="clear" w:color="auto" w:fill="FFFFFF"/>
          <w:lang w:val="en-US" w:eastAsia="zh-CN"/>
        </w:rPr>
        <w:t>号</w:t>
      </w:r>
    </w:p>
    <w:p w14:paraId="1E627E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当事人：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赵县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XXXX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基地</w:t>
      </w:r>
    </w:p>
    <w:p w14:paraId="70E712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ascii="仿宋" w:hAnsi="仿宋" w:eastAsia="仿宋" w:cs="仿宋"/>
          <w:sz w:val="32"/>
          <w:szCs w:val="32"/>
          <w:lang w:val="en-US" w:eastAsia="zh-CN"/>
        </w:rPr>
        <w:t>经营者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：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郭XX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，男，汉族</w:t>
      </w:r>
    </w:p>
    <w:p w14:paraId="7F0AF0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spacing w:line="560" w:lineRule="exact"/>
        <w:ind w:left="0" w:firstLine="640" w:firstLineChars="200"/>
        <w:rPr>
          <w:rFonts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出生日期：19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86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年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X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月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X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日</w:t>
      </w:r>
    </w:p>
    <w:p w14:paraId="7DFA79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spacing w:line="560" w:lineRule="exact"/>
        <w:ind w:left="0" w:firstLine="640" w:firstLineChars="200"/>
        <w:rPr>
          <w:rFonts w:ascii="仿宋_GB2312" w:hAnsi="仿宋_GB2312" w:eastAsia="仿宋_GB2312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身份证号：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1301041986XXXXXXXX</w:t>
      </w:r>
    </w:p>
    <w:p w14:paraId="16137D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spacing w:line="560" w:lineRule="exact"/>
        <w:ind w:firstLine="640"/>
        <w:rPr>
          <w:rFonts w:ascii="仿宋" w:hAnsi="仿宋" w:eastAsia="仿宋" w:cs="仿宋"/>
          <w:sz w:val="32"/>
          <w:szCs w:val="32"/>
          <w:u w:val="none"/>
          <w:lang w:val="en-US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住所：河北省石家庄市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XXXXXXXX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号</w:t>
      </w:r>
    </w:p>
    <w:p w14:paraId="5C86F13E">
      <w:pPr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当事人</w:t>
      </w: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经营依法应当检疫而未经检疫的动物(牛)</w:t>
      </w:r>
      <w:r>
        <w:rPr>
          <w:rFonts w:hint="eastAsia" w:ascii="仿宋" w:hAnsi="仿宋" w:eastAsia="仿宋" w:cs="仿宋"/>
          <w:sz w:val="32"/>
          <w:szCs w:val="32"/>
        </w:rPr>
        <w:t>一案，经本机关依法调查，现查明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</w:t>
      </w:r>
    </w:p>
    <w:p w14:paraId="0D38459D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2025年10月13日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 w:cs="仿宋"/>
          <w:b w:val="0"/>
          <w:bCs/>
          <w:i w:val="0"/>
          <w:iCs/>
          <w:sz w:val="32"/>
          <w:szCs w:val="32"/>
          <w:u w:val="none"/>
          <w:lang w:val="en-US" w:eastAsia="zh-CN"/>
        </w:rPr>
        <w:t>时</w:t>
      </w:r>
      <w:r>
        <w:rPr>
          <w:rFonts w:ascii="仿宋" w:hAnsi="仿宋" w:eastAsia="仿宋" w:cs="仿宋"/>
          <w:b w:val="0"/>
          <w:bCs/>
          <w:i w:val="0"/>
          <w:iCs/>
          <w:sz w:val="32"/>
          <w:szCs w:val="32"/>
          <w:u w:val="none"/>
          <w:lang w:val="en-US" w:eastAsia="zh-CN"/>
        </w:rPr>
        <w:t>10</w:t>
      </w:r>
      <w:r>
        <w:rPr>
          <w:rFonts w:hint="eastAsia" w:ascii="仿宋" w:hAnsi="仿宋" w:eastAsia="仿宋" w:cs="仿宋"/>
          <w:b w:val="0"/>
          <w:bCs/>
          <w:i w:val="0"/>
          <w:iCs/>
          <w:sz w:val="32"/>
          <w:szCs w:val="32"/>
          <w:u w:val="none"/>
          <w:lang w:val="en-US" w:eastAsia="zh-CN"/>
        </w:rPr>
        <w:t>分</w:t>
      </w:r>
      <w:r>
        <w:rPr>
          <w:rFonts w:ascii="仿宋" w:hAnsi="仿宋" w:eastAsia="仿宋" w:cs="仿宋"/>
          <w:b w:val="0"/>
          <w:bCs/>
          <w:i w:val="0"/>
          <w:iCs/>
          <w:sz w:val="32"/>
          <w:szCs w:val="32"/>
          <w:u w:val="none"/>
          <w:lang w:val="en-US" w:eastAsia="zh-CN"/>
        </w:rPr>
        <w:t>，</w:t>
      </w:r>
      <w:r>
        <w:rPr>
          <w:rFonts w:hint="eastAsia" w:ascii="仿宋" w:hAnsi="仿宋" w:eastAsia="仿宋" w:cs="仿宋"/>
          <w:b w:val="0"/>
          <w:bCs/>
          <w:i w:val="0"/>
          <w:iCs/>
          <w:sz w:val="32"/>
          <w:szCs w:val="32"/>
          <w:u w:val="none"/>
          <w:lang w:val="en-US" w:eastAsia="zh-CN"/>
        </w:rPr>
        <w:t>赵县农业农村局执法人员在对</w:t>
      </w:r>
      <w:r>
        <w:rPr>
          <w:rFonts w:ascii="仿宋" w:hAnsi="仿宋" w:eastAsia="仿宋" w:cs="仿宋"/>
          <w:b w:val="0"/>
          <w:bCs/>
          <w:i w:val="0"/>
          <w:iCs/>
          <w:sz w:val="32"/>
          <w:szCs w:val="32"/>
          <w:u w:val="none"/>
          <w:lang w:val="en-US" w:eastAsia="zh-CN"/>
        </w:rPr>
        <w:t>位于</w:t>
      </w:r>
      <w:r>
        <w:rPr>
          <w:rFonts w:ascii="仿宋" w:hAnsi="仿宋" w:eastAsia="仿宋" w:cs="仿宋"/>
          <w:b w:val="0"/>
          <w:bCs/>
          <w:i w:val="0"/>
          <w:iCs/>
          <w:sz w:val="32"/>
          <w:szCs w:val="32"/>
          <w:lang w:val="en-US" w:eastAsia="zh-CN"/>
        </w:rPr>
        <w:t>赵县沙河店镇XXX村</w:t>
      </w: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赵县</w:t>
      </w:r>
      <w:r>
        <w:rPr>
          <w:rFonts w:ascii="仿宋" w:hAnsi="仿宋" w:eastAsia="仿宋" w:cs="仿宋"/>
          <w:sz w:val="32"/>
          <w:szCs w:val="32"/>
          <w:u w:val="none"/>
          <w:lang w:val="en-US" w:eastAsia="zh-CN"/>
        </w:rPr>
        <w:t>XXXX</w:t>
      </w: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基地监督检查，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执法人员向当事人出示执法证件说明来意后检查情况如下：</w:t>
      </w: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赵县</w:t>
      </w:r>
      <w:r>
        <w:rPr>
          <w:rFonts w:ascii="仿宋" w:hAnsi="仿宋" w:eastAsia="仿宋" w:cs="仿宋"/>
          <w:sz w:val="32"/>
          <w:szCs w:val="32"/>
          <w:u w:val="none"/>
          <w:lang w:val="en-US" w:eastAsia="zh-CN"/>
        </w:rPr>
        <w:t>XXXX</w:t>
      </w: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基地</w:t>
      </w:r>
      <w:r>
        <w:rPr>
          <w:rFonts w:ascii="仿宋" w:hAnsi="仿宋" w:eastAsia="仿宋" w:cs="仿宋"/>
          <w:sz w:val="32"/>
          <w:szCs w:val="32"/>
          <w:u w:val="none"/>
          <w:lang w:val="en-US" w:eastAsia="zh-CN"/>
        </w:rPr>
        <w:t>销售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的2头牛，牛只皮毛光亮、呼吸匀称、精神良好。</w:t>
      </w: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当事人不能提供该批牛的动物检疫合格证明。赵县</w:t>
      </w:r>
      <w:r>
        <w:rPr>
          <w:rFonts w:ascii="仿宋" w:hAnsi="仿宋" w:eastAsia="仿宋" w:cs="仿宋"/>
          <w:sz w:val="32"/>
          <w:szCs w:val="32"/>
          <w:u w:val="none"/>
          <w:lang w:val="en-US" w:eastAsia="zh-CN"/>
        </w:rPr>
        <w:t>XXXX</w:t>
      </w: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基地</w:t>
      </w:r>
      <w:r>
        <w:rPr>
          <w:rFonts w:ascii="仿宋" w:hAnsi="仿宋" w:eastAsia="仿宋" w:cs="仿宋"/>
          <w:sz w:val="32"/>
          <w:szCs w:val="32"/>
          <w:u w:val="none"/>
          <w:lang w:val="en-US" w:eastAsia="zh-CN"/>
        </w:rPr>
        <w:t>经营者郭XX</w:t>
      </w: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提供了该批牛</w:t>
      </w:r>
      <w:r>
        <w:rPr>
          <w:rFonts w:ascii="仿宋" w:hAnsi="仿宋" w:eastAsia="仿宋" w:cs="仿宋"/>
          <w:sz w:val="32"/>
          <w:szCs w:val="32"/>
          <w:u w:val="none"/>
          <w:lang w:val="en-US" w:eastAsia="zh-CN"/>
        </w:rPr>
        <w:t>过磅单</w:t>
      </w: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，牛共重752.5公斤，货值12040元。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执法人员现场制作了《现场检查笔录》。当日对赵县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XXXX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基地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经营者郭XX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进行了调查询问，制作了《询问笔录》，提取了当事人赵县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XXXX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基地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经营者的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身份证复印件，当事人的营业执照复印件以及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过磅单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。</w:t>
      </w:r>
    </w:p>
    <w:p w14:paraId="46B87E27">
      <w:pPr>
        <w:keepNext w:val="0"/>
        <w:keepLines w:val="0"/>
        <w:pageBreakBefore w:val="0"/>
        <w:widowControl w:val="0"/>
        <w:tabs>
          <w:tab w:val="left" w:pos="297"/>
        </w:tabs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上述事实，主要有以下证据证明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</w:t>
      </w:r>
    </w:p>
    <w:p w14:paraId="686C0277">
      <w:pPr>
        <w:keepNext w:val="0"/>
        <w:keepLines w:val="0"/>
        <w:pageBreakBefore w:val="0"/>
        <w:widowControl w:val="0"/>
        <w:tabs>
          <w:tab w:val="left" w:pos="297"/>
        </w:tabs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一、当事人赵县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XXXX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基地营业执照1份，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经营者郭XX的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身份证复印件1份，证明当事人的身份。</w:t>
      </w:r>
    </w:p>
    <w:p w14:paraId="3B0435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二、《现场检查笔录》1份，对当事人进行询问制作的《询问笔录》1份，现场检查照片（打印件）1份，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过磅单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1份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证明当事人经营依法应当检疫而未经检疫的动物的违法事实。</w:t>
      </w:r>
    </w:p>
    <w:p w14:paraId="1879F4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三、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询价证明3份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，证明当事人经营的同类检疫合格牛货值为12040元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（</w:t>
      </w:r>
      <w:r>
        <w:rPr>
          <w:rFonts w:ascii="仿宋" w:hAnsi="仿宋" w:eastAsia="仿宋" w:cs="仿宋"/>
          <w:color w:val="000000"/>
          <w:sz w:val="32"/>
          <w:szCs w:val="32"/>
        </w:rPr>
        <w:t>752.5千克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×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16元/千克=12040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元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）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。</w:t>
      </w:r>
    </w:p>
    <w:p w14:paraId="7A8728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本机关于2025年1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月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14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日向当事人送达了《赵县农业农村局行政处罚事先告知书》【赵农（动监）告〔202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〕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号】，告知了当事人作出的行政处罚内容、事实、理由、依据及当事人依法享有的陈述、申辩和申请听证的权利。告知其处以罚款人民币3612元的行政处罚，当事人在规定期限内未进行陈述、申辩和申请听证。</w:t>
      </w:r>
    </w:p>
    <w:p w14:paraId="3F2314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当事人202</w:t>
      </w:r>
      <w:r>
        <w:rPr>
          <w:rFonts w:ascii="仿宋" w:hAnsi="仿宋" w:eastAsia="仿宋" w:cs="仿宋"/>
          <w:sz w:val="32"/>
          <w:szCs w:val="32"/>
          <w:u w:val="none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年1</w:t>
      </w:r>
      <w:r>
        <w:rPr>
          <w:rFonts w:ascii="仿宋" w:hAnsi="仿宋" w:eastAsia="仿宋" w:cs="仿宋"/>
          <w:sz w:val="32"/>
          <w:szCs w:val="32"/>
          <w:u w:val="none"/>
          <w:lang w:val="en-US" w:eastAsia="zh-CN"/>
        </w:rPr>
        <w:t>0</w:t>
      </w: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月1</w:t>
      </w:r>
      <w:r>
        <w:rPr>
          <w:rFonts w:ascii="仿宋" w:hAnsi="仿宋" w:eastAsia="仿宋" w:cs="仿宋"/>
          <w:sz w:val="32"/>
          <w:szCs w:val="32"/>
          <w:u w:val="none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日经营依法应当检疫而未经检疫的动物（牛）的行为，构成了经营依法应当检疫而未经检疫动物的事实。</w:t>
      </w:r>
    </w:p>
    <w:p w14:paraId="7ADA33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 w:val="0"/>
        <w:snapToGrid w:val="0"/>
        <w:spacing w:line="560" w:lineRule="atLeast"/>
        <w:ind w:firstLine="640" w:firstLineChars="200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当事人的行为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违反了</w:t>
      </w: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《中华人民共和国动物防疫法》第二十九条第一款第三项“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424242"/>
          <w:spacing w:val="0"/>
          <w:sz w:val="32"/>
          <w:szCs w:val="32"/>
          <w:shd w:val="clear" w:color="auto" w:fill="FFFFFF"/>
        </w:rPr>
        <w:t>禁止屠宰、经营、运输下列动物和生产、经营、加工、贮藏、运输下列动物产品：</w:t>
      </w:r>
      <w:r>
        <w:rPr>
          <w:rFonts w:hint="eastAsia" w:ascii="宋体" w:hAnsi="宋体" w:cs="宋体"/>
          <w:i w:val="0"/>
          <w:iCs w:val="0"/>
          <w:caps w:val="0"/>
          <w:smallCaps w:val="0"/>
          <w:color w:val="424242"/>
          <w:spacing w:val="0"/>
          <w:sz w:val="27"/>
          <w:szCs w:val="27"/>
          <w:shd w:val="clear" w:color="auto" w:fill="FFFFFF"/>
          <w:lang w:eastAsia="zh-CN"/>
        </w:rPr>
        <w:t>（三）</w:t>
      </w: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依法应当检疫而未经检疫或检疫不合格的；”</w:t>
      </w:r>
      <w:r>
        <w:rPr>
          <w:rFonts w:hint="eastAsia" w:ascii="仿宋" w:hAnsi="仿宋" w:eastAsia="仿宋" w:cs="仿宋"/>
          <w:sz w:val="32"/>
          <w:szCs w:val="32"/>
          <w:u w:val="none"/>
        </w:rPr>
        <w:t xml:space="preserve">之规定， </w:t>
      </w: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依据《中华人民共和国动物防疫法》</w:t>
      </w:r>
      <w:r>
        <w:rPr>
          <w:rFonts w:hint="eastAsia" w:ascii="仿宋" w:hAnsi="仿宋" w:eastAsia="仿宋" w:cs="仿宋"/>
          <w:i w:val="0"/>
          <w:caps w:val="0"/>
          <w:smallCaps w:val="0"/>
          <w:color w:val="2B2B2B"/>
          <w:spacing w:val="0"/>
          <w:sz w:val="32"/>
          <w:szCs w:val="32"/>
          <w:shd w:val="clear" w:color="auto" w:fill="FFFFFF"/>
        </w:rPr>
        <w:t>第九十七条</w:t>
      </w:r>
      <w:r>
        <w:rPr>
          <w:rFonts w:hint="eastAsia" w:ascii="仿宋" w:hAnsi="仿宋" w:eastAsia="仿宋" w:cs="仿宋"/>
          <w:i w:val="0"/>
          <w:caps w:val="0"/>
          <w:smallCaps w:val="0"/>
          <w:color w:val="2B2B2B"/>
          <w:spacing w:val="0"/>
          <w:sz w:val="32"/>
          <w:szCs w:val="32"/>
          <w:shd w:val="clear" w:color="auto" w:fill="FFFFFF"/>
          <w:lang w:val="en-US" w:eastAsia="zh-CN"/>
        </w:rPr>
        <w:t>第一款</w:t>
      </w: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“</w:t>
      </w:r>
      <w:r>
        <w:rPr>
          <w:rFonts w:hint="eastAsia" w:ascii="仿宋" w:hAnsi="仿宋" w:eastAsia="仿宋" w:cs="仿宋"/>
          <w:i w:val="0"/>
          <w:caps w:val="0"/>
          <w:smallCaps w:val="0"/>
          <w:color w:val="2B2B2B"/>
          <w:spacing w:val="0"/>
          <w:sz w:val="32"/>
          <w:szCs w:val="32"/>
          <w:shd w:val="clear" w:color="auto" w:fill="FFFFFF"/>
        </w:rPr>
        <w:t>违反本法第二十九条</w:t>
      </w:r>
      <w:r>
        <w:rPr>
          <w:rFonts w:hint="eastAsia" w:ascii="仿宋" w:hAnsi="仿宋" w:eastAsia="仿宋" w:cs="仿宋"/>
          <w:i w:val="0"/>
          <w:caps w:val="0"/>
          <w:smallCaps w:val="0"/>
          <w:color w:val="2B2B2B"/>
          <w:spacing w:val="0"/>
          <w:sz w:val="32"/>
          <w:szCs w:val="32"/>
          <w:shd w:val="clear" w:color="auto" w:fill="FFFFFF"/>
          <w:lang w:val="en-US" w:eastAsia="zh-CN"/>
        </w:rPr>
        <w:t>第一款</w:t>
      </w:r>
      <w:r>
        <w:rPr>
          <w:rFonts w:hint="eastAsia" w:ascii="仿宋" w:hAnsi="仿宋" w:eastAsia="仿宋" w:cs="仿宋"/>
          <w:i w:val="0"/>
          <w:caps w:val="0"/>
          <w:smallCaps w:val="0"/>
          <w:color w:val="2B2B2B"/>
          <w:spacing w:val="0"/>
          <w:sz w:val="32"/>
          <w:szCs w:val="32"/>
          <w:shd w:val="clear" w:color="auto" w:fill="FFFFFF"/>
        </w:rPr>
        <w:t>规定，屠宰、经营、运输动物或者生产、经营、加工、贮藏、运输动物产品的，由县级以上地方人民政府农业农村主管部门责令改正、采取补救措施，没收违法所得、动物和动物产品，并处同类检疫合格动物、动物产品货值金额十五倍以上三十倍以下罚款；同类检疫合格动物、动物产品货值金额不足一万元的，并处五万元以上十五万元以下罚款；其中依法应当检疫而未检疫的，依照本法第一百条的规定处罚</w:t>
      </w:r>
      <w:r>
        <w:rPr>
          <w:rFonts w:hint="eastAsia" w:ascii="仿宋" w:hAnsi="仿宋" w:eastAsia="仿宋" w:cs="仿宋"/>
          <w:i w:val="0"/>
          <w:caps w:val="0"/>
          <w:smallCaps w:val="0"/>
          <w:color w:val="2B2B2B"/>
          <w:spacing w:val="0"/>
          <w:sz w:val="32"/>
          <w:szCs w:val="32"/>
          <w:shd w:val="clear" w:color="auto" w:fill="FFFFFF"/>
          <w:lang w:val="en-US" w:eastAsia="zh-CN"/>
        </w:rPr>
        <w:t>”、</w:t>
      </w: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《中华人民共和国动物防疫法》第一百条第一款的规定“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违反本法规定，屠宰、经营、运输的动物未附有检疫证明，经营和运输的动物产品未附有检疫证明、检疫标志的，由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县级以上地方人民政府农业农村主管部门责令改正，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处同类检疫合格动物、动物产品货值金额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一倍以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下罚款；对货主以外的承运人处运输费用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三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倍以上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五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倍以下罚款，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情节严重的，处五倍以上十倍以下罚款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”的规定，参照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《河北省农业行政裁量权基准（2024 年修订）》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十、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河北省农业行政处罚裁量权基准（动物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防疫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部分）序号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：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“违法行为：</w:t>
      </w:r>
      <w:r>
        <w:rPr>
          <w:rFonts w:hint="eastAsia" w:ascii="仿宋" w:hAnsi="仿宋" w:eastAsia="仿宋" w:cs="仿宋"/>
          <w:i w:val="0"/>
          <w:color w:val="auto"/>
          <w:kern w:val="0"/>
          <w:sz w:val="32"/>
          <w:szCs w:val="32"/>
          <w:highlight w:val="none"/>
          <w:u w:val="none"/>
          <w:lang w:val="en-US" w:eastAsia="zh-CN"/>
        </w:rPr>
        <w:t>屠宰、经营、运输的动物未附有检疫证明，经营和运输的动物产品未附有检疫证明、检疫标志行为；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法律依据：《中华人民共和国动物防疫法》第一百条第一款 违反本法规定，屠宰、经营、运输的动物未附有检疫证明 ，经营和运输的动物产品未附有检疫证明、检疫标志的，由县级以上地方人民政府农业农村主管部门责令改正，处同类检疫合格动物、动物产品货值金额一倍以下罚款；对货主以外的承运人处运输费用三倍以上五倍以下罚款，情节严重的，处五倍以上十倍以下罚款</w:t>
      </w: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；裁量幅度：较重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；适用条件：12个月内两次出现同一违法行为；或同类检疫合格动物、动物产品货值一万元以上不足五万元的。</w:t>
      </w:r>
      <w:r>
        <w:rPr>
          <w:rFonts w:hint="eastAsia" w:ascii="仿宋" w:hAnsi="仿宋" w:eastAsia="仿宋" w:cs="仿宋"/>
          <w:i w:val="0"/>
          <w:color w:val="auto"/>
          <w:kern w:val="0"/>
          <w:sz w:val="32"/>
          <w:szCs w:val="32"/>
          <w:highlight w:val="none"/>
          <w:u w:val="none"/>
          <w:lang w:val="en-US" w:eastAsia="zh-CN"/>
        </w:rPr>
        <w:t>违法经营的动物、动物产品货值不足十万元的；裁量基准：处同类检疫合格动物、动物产品货值金额 0.3倍以上0.5倍以下罚款；行政命令；责令改正”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的规定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，给予你同类检疫合格商品牛货值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0.3倍的罚款。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经调查核实涉案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动物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的同类检疫合格动物货值为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12040元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。本机关作出如下处罚决定：</w:t>
      </w:r>
    </w:p>
    <w:p w14:paraId="1E083E30"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罚款人民币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3612元</w:t>
      </w:r>
      <w:r>
        <w:rPr>
          <w:rFonts w:hint="eastAsia" w:ascii="仿宋" w:hAnsi="仿宋" w:eastAsia="仿宋" w:cs="仿宋"/>
          <w:sz w:val="32"/>
          <w:szCs w:val="32"/>
        </w:rPr>
        <w:t>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12040元×0.3倍=3612元</w:t>
      </w:r>
      <w:r>
        <w:rPr>
          <w:rFonts w:hint="eastAsia" w:ascii="仿宋" w:hAnsi="仿宋" w:eastAsia="仿宋" w:cs="仿宋"/>
          <w:sz w:val="32"/>
          <w:szCs w:val="32"/>
        </w:rPr>
        <w:t>）。</w:t>
      </w:r>
    </w:p>
    <w:p w14:paraId="1002EC1A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当事人必须在收到本处罚决定书之日起15日内持本决定书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到中国银行赵县支</w:t>
      </w: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行或者通过电子支付系统</w:t>
      </w:r>
      <w:r>
        <w:rPr>
          <w:rFonts w:hint="eastAsia" w:ascii="仿宋" w:hAnsi="仿宋" w:eastAsia="仿宋" w:cs="仿宋"/>
          <w:sz w:val="32"/>
          <w:szCs w:val="32"/>
        </w:rPr>
        <w:t>缴纳罚款。逾期不按规定缴纳罚款的，每日按罚款数额的3%加处罚款。</w:t>
      </w:r>
    </w:p>
    <w:p w14:paraId="683B07BA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当事人对本处罚决定不服的，可以在收到本处罚决定书之日起六十日内向</w:t>
      </w: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赵县人民政府</w:t>
      </w:r>
      <w:r>
        <w:rPr>
          <w:rFonts w:hint="eastAsia" w:ascii="仿宋" w:hAnsi="仿宋" w:eastAsia="仿宋" w:cs="仿宋"/>
          <w:sz w:val="32"/>
          <w:szCs w:val="32"/>
        </w:rPr>
        <w:t>申请行政复议；或者六个月内向</w:t>
      </w: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赵县</w:t>
      </w:r>
      <w:r>
        <w:rPr>
          <w:rFonts w:hint="eastAsia" w:ascii="仿宋" w:hAnsi="仿宋" w:eastAsia="仿宋" w:cs="仿宋"/>
          <w:sz w:val="32"/>
          <w:szCs w:val="32"/>
        </w:rPr>
        <w:t>人民法院提起行政诉讼。行政复议和行政诉讼期间，本处罚决定不停止执行。</w:t>
      </w:r>
    </w:p>
    <w:p w14:paraId="04D52631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当事人逾期不申请行政复议或者提起行政诉讼，也不履行本行政处罚决定的，本机关将依法申请人民法院强制执行。</w:t>
      </w:r>
    </w:p>
    <w:p w14:paraId="2D68D0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宋体-18030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罚没许可证编号：罚证字第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01-14-0026号</w:t>
      </w:r>
    </w:p>
    <w:p w14:paraId="59187ED3">
      <w:pPr>
        <w:spacing w:before="156" w:beforeLines="50" w:line="400" w:lineRule="exact"/>
        <w:ind w:right="320"/>
        <w:jc w:val="right"/>
        <w:rPr>
          <w:rFonts w:hint="eastAsia" w:ascii="仿宋_GB2312" w:hAnsi="仿宋_GB2312" w:eastAsia="仿宋_GB2312" w:cs="宋体-18030"/>
          <w:sz w:val="32"/>
          <w:szCs w:val="32"/>
        </w:rPr>
      </w:pPr>
      <w:r>
        <w:rPr>
          <w:rFonts w:hint="eastAsia" w:ascii="仿宋_GB2312" w:hAnsi="仿宋_GB2312" w:eastAsia="仿宋_GB2312" w:cs="宋体-18030"/>
          <w:sz w:val="32"/>
          <w:szCs w:val="32"/>
        </w:rPr>
        <w:t xml:space="preserve">                                                                               </w:t>
      </w:r>
    </w:p>
    <w:p w14:paraId="4423D9BD">
      <w:pPr>
        <w:spacing w:before="156" w:beforeLines="50" w:line="400" w:lineRule="exact"/>
        <w:ind w:right="1166"/>
        <w:jc w:val="right"/>
        <w:rPr>
          <w:rFonts w:ascii="仿宋_GB2312" w:hAnsi="仿宋_GB2312" w:eastAsia="仿宋_GB2312" w:cs="宋体-18030"/>
          <w:sz w:val="32"/>
          <w:szCs w:val="32"/>
          <w:lang w:val="en-US" w:eastAsia="zh-CN"/>
        </w:rPr>
      </w:pPr>
    </w:p>
    <w:p w14:paraId="1BFA8BAA">
      <w:pPr>
        <w:spacing w:before="156" w:beforeLines="50" w:line="400" w:lineRule="exact"/>
        <w:ind w:right="1166"/>
        <w:jc w:val="both"/>
        <w:rPr>
          <w:rFonts w:hint="eastAsia" w:ascii="仿宋_GB2312" w:hAnsi="仿宋_GB2312" w:eastAsia="仿宋_GB2312" w:cs="宋体-1803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宋体-18030"/>
          <w:sz w:val="32"/>
          <w:szCs w:val="32"/>
          <w:lang w:val="en-US" w:eastAsia="zh-CN"/>
        </w:rPr>
        <w:t xml:space="preserve">                              赵</w:t>
      </w:r>
      <w:bookmarkStart w:id="0" w:name="_GoBack"/>
      <w:bookmarkEnd w:id="0"/>
      <w:r>
        <w:rPr>
          <w:rFonts w:hint="eastAsia" w:ascii="仿宋_GB2312" w:hAnsi="仿宋_GB2312" w:eastAsia="仿宋_GB2312" w:cs="宋体-18030"/>
          <w:sz w:val="32"/>
          <w:szCs w:val="32"/>
          <w:lang w:val="en-US" w:eastAsia="zh-CN"/>
        </w:rPr>
        <w:t>县</w:t>
      </w:r>
      <w:r>
        <w:rPr>
          <w:rFonts w:hint="eastAsia" w:ascii="仿宋_GB2312" w:hAnsi="仿宋_GB2312" w:eastAsia="仿宋_GB2312" w:cs="宋体-18030"/>
          <w:sz w:val="32"/>
          <w:szCs w:val="32"/>
          <w:lang w:eastAsia="zh-CN"/>
        </w:rPr>
        <w:t>农业农村局</w:t>
      </w:r>
    </w:p>
    <w:p w14:paraId="43A18426">
      <w:pPr>
        <w:spacing w:before="156" w:beforeLines="50" w:line="400" w:lineRule="exact"/>
        <w:ind w:right="320"/>
        <w:jc w:val="both"/>
        <w:rPr>
          <w:rFonts w:ascii="仿宋_GB2312" w:hAnsi="仿宋" w:eastAsia="仿宋_GB2312"/>
          <w:sz w:val="32"/>
          <w:szCs w:val="40"/>
        </w:rPr>
      </w:pPr>
      <w:r>
        <w:rPr>
          <w:rFonts w:hint="eastAsia" w:ascii="仿宋_GB2312" w:hAnsi="仿宋" w:eastAsia="仿宋_GB2312"/>
          <w:sz w:val="32"/>
          <w:szCs w:val="40"/>
        </w:rPr>
        <w:t xml:space="preserve">                       </w:t>
      </w:r>
      <w:r>
        <w:rPr>
          <w:rFonts w:hint="eastAsia" w:ascii="仿宋_GB2312" w:hAnsi="仿宋" w:eastAsia="仿宋_GB2312"/>
          <w:sz w:val="32"/>
          <w:szCs w:val="40"/>
          <w:lang w:val="en-US" w:eastAsia="zh-CN"/>
        </w:rPr>
        <w:t xml:space="preserve">       2025</w:t>
      </w:r>
      <w:r>
        <w:rPr>
          <w:rFonts w:hint="eastAsia" w:ascii="仿宋_GB2312" w:hAnsi="仿宋" w:eastAsia="仿宋_GB2312"/>
          <w:sz w:val="32"/>
          <w:szCs w:val="40"/>
        </w:rPr>
        <w:t>年</w:t>
      </w:r>
      <w:r>
        <w:rPr>
          <w:rFonts w:ascii="仿宋_GB2312" w:hAnsi="仿宋" w:eastAsia="仿宋_GB2312"/>
          <w:sz w:val="32"/>
          <w:szCs w:val="40"/>
        </w:rPr>
        <w:t>10</w:t>
      </w:r>
      <w:r>
        <w:rPr>
          <w:rFonts w:hint="eastAsia" w:ascii="仿宋_GB2312" w:hAnsi="仿宋" w:eastAsia="仿宋_GB2312"/>
          <w:sz w:val="32"/>
          <w:szCs w:val="40"/>
          <w:lang w:eastAsia="zh-CN"/>
        </w:rPr>
        <w:t>月</w:t>
      </w:r>
      <w:r>
        <w:rPr>
          <w:rFonts w:hint="eastAsia" w:ascii="仿宋_GB2312" w:hAnsi="仿宋" w:eastAsia="仿宋_GB2312"/>
          <w:sz w:val="32"/>
          <w:szCs w:val="40"/>
          <w:lang w:val="en-US" w:eastAsia="zh-CN"/>
        </w:rPr>
        <w:t>2</w:t>
      </w:r>
      <w:r>
        <w:rPr>
          <w:rFonts w:ascii="仿宋_GB2312" w:hAnsi="仿宋" w:eastAsia="仿宋_GB2312"/>
          <w:sz w:val="32"/>
          <w:szCs w:val="40"/>
          <w:lang w:val="en-US" w:eastAsia="zh-CN"/>
        </w:rPr>
        <w:t>3</w:t>
      </w:r>
      <w:r>
        <w:rPr>
          <w:rFonts w:hint="eastAsia" w:ascii="仿宋_GB2312" w:hAnsi="仿宋" w:eastAsia="仿宋_GB2312"/>
          <w:sz w:val="32"/>
          <w:szCs w:val="40"/>
        </w:rPr>
        <w:t>日</w:t>
      </w:r>
    </w:p>
    <w:p w14:paraId="3B627915">
      <w:r>
        <w:rPr>
          <w:rFonts w:hint="eastAsia" w:ascii="仿宋" w:hAnsi="仿宋" w:eastAsia="仿宋" w:cs="仿宋"/>
          <w:sz w:val="32"/>
          <w:szCs w:val="32"/>
        </w:rPr>
        <w:t xml:space="preserve">                            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altName w:val="方正舒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&amp;quot">
    <w:altName w:val="Segoe Print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宋体-18030">
    <w:altName w:val="微软雅黑"/>
    <w:panose1 w:val="00000000000000000000"/>
    <w:charset w:val="86"/>
    <w:family w:val="modern"/>
    <w:pitch w:val="default"/>
    <w:sig w:usb0="00000000" w:usb1="00000000" w:usb2="000A005E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KSOFBE25B2F9">
    <w:panose1 w:val="02000000000000000000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isplayBackgroundShape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noPunctuationKerning w:val="1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5"/>
  </w:compat>
  <w:rsids>
    <w:rsidRoot w:val="00000000"/>
    <w:rsid w:val="2D275C9E"/>
    <w:rsid w:val="5BD146F3"/>
    <w:rsid w:val="7E2D3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8"/>
    <w:qFormat/>
    <w:uiPriority w:val="0"/>
    <w:pPr>
      <w:widowControl/>
      <w:shd w:val="clear" w:color="auto" w:fill="FFFFFF"/>
      <w:jc w:val="center"/>
      <w:textAlignment w:val="baseline"/>
      <w:outlineLvl w:val="0"/>
    </w:pPr>
    <w:rPr>
      <w:rFonts w:ascii="宋体" w:hAnsi="宋体" w:eastAsia="华文中宋"/>
      <w:b/>
      <w:kern w:val="0"/>
      <w:sz w:val="44"/>
      <w:szCs w:val="44"/>
      <w:shd w:val="clear" w:color="auto" w:fill="FFFFFF"/>
    </w:rPr>
  </w:style>
  <w:style w:type="paragraph" w:styleId="3">
    <w:name w:val="heading 2"/>
    <w:basedOn w:val="1"/>
    <w:next w:val="1"/>
    <w:link w:val="9"/>
    <w:qFormat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link w:val="10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7">
    <w:name w:val="Default Paragraph Font"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8">
    <w:name w:val="heading 1 Char"/>
    <w:basedOn w:val="7"/>
    <w:link w:val="2"/>
    <w:qFormat/>
    <w:uiPriority w:val="0"/>
    <w:rPr>
      <w:rFonts w:ascii="宋体" w:hAnsi="宋体" w:eastAsia="华文中宋" w:cs="Times New Roman"/>
      <w:b/>
      <w:kern w:val="0"/>
      <w:sz w:val="44"/>
      <w:szCs w:val="44"/>
      <w:shd w:val="clear" w:color="auto" w:fill="FFFFFF"/>
      <w:lang w:val="en-US" w:eastAsia="zh-CN" w:bidi="ar-SA"/>
    </w:rPr>
  </w:style>
  <w:style w:type="character" w:customStyle="1" w:styleId="9">
    <w:name w:val="heading 2 Char"/>
    <w:basedOn w:val="7"/>
    <w:link w:val="3"/>
    <w:qFormat/>
    <w:uiPriority w:val="0"/>
    <w:rPr>
      <w:rFonts w:ascii="Times New Roman" w:hAnsi="Times New Roman" w:eastAsia="黑体" w:cs="Times New Roman"/>
      <w:b/>
      <w:bCs/>
      <w:kern w:val="2"/>
      <w:sz w:val="32"/>
      <w:szCs w:val="32"/>
      <w:lang w:val="en-US" w:eastAsia="zh-CN" w:bidi="ar-SA"/>
    </w:rPr>
  </w:style>
  <w:style w:type="character" w:customStyle="1" w:styleId="10">
    <w:name w:val="heading 3 Char"/>
    <w:basedOn w:val="7"/>
    <w:link w:val="4"/>
    <w:qFormat/>
    <w:uiPriority w:val="0"/>
    <w:rPr>
      <w:rFonts w:ascii="Times New Roman" w:hAnsi="Times New Roman" w:eastAsia="宋体" w:cs="Times New Roman"/>
      <w:b/>
      <w:bCs/>
      <w:kern w:val="2"/>
      <w:sz w:val="32"/>
      <w:szCs w:val="3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ap="flat" cmpd="sng">
          <a:solidFill>
            <a:schemeClr val="phClr"/>
          </a:solidFill>
          <a:prstDash val="solid"/>
          <a:miter/>
        </a:ln>
        <a:ln w="12700" cap="flat" cmpd="sng">
          <a:solidFill>
            <a:schemeClr val="phClr"/>
          </a:solidFill>
          <a:prstDash val="solid"/>
          <a:miter/>
        </a:ln>
        <a:ln w="19050" cap="flat" cmpd="sng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678 0 1 1 1 1"/>
    <sectPr/>
  </customProps>
</customData>
</file>

<file path=customXml/itemProps1.xml><?xml version="1.0" encoding="utf-8"?>
<ds:datastoreItem xmlns:ds="http://schemas.openxmlformats.org/officeDocument/2006/customXml" ds:itemID="{6C85F941-50B0-4045-9998-4F53ECCBA7E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Yozosoft</Company>
  <Pages>4</Pages>
  <Words>1918</Words>
  <Characters>2062</Characters>
  <Lines>0</Lines>
  <Paragraphs>200</Paragraphs>
  <TotalTime>20</TotalTime>
  <ScaleCrop>false</ScaleCrop>
  <LinksUpToDate>false</LinksUpToDate>
  <CharactersWithSpaces>2252</CharactersWithSpaces>
  <Application>WPS Office_12.1.0.23542_F1E327BC-269C-435d-A152-05C5408002CA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2021-05-08T07:28:00Z</dcterms:created>
  <dc:creator>User274</dc:creator>
  <cp:lastModifiedBy>幸福是你给的</cp:lastModifiedBy>
  <dcterms:modified xsi:type="dcterms:W3CDTF">2025-11-28T03:07:37Z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eyJoZGlkIjoiNjIzYjI5N2UxZWE0NzI5ZTRjNTMwZGJiNDRmZmMxZDciLCJ1c2VySWQiOiI0NzAxMjE3MjUifQ==</vt:lpwstr>
  </property>
  <property fmtid="{D5CDD505-2E9C-101B-9397-08002B2CF9AE}" pid="3" name="KSOProductBuildVer">
    <vt:lpwstr>2052-12.1.0.23542</vt:lpwstr>
  </property>
  <property fmtid="{D5CDD505-2E9C-101B-9397-08002B2CF9AE}" pid="4" name="ICV">
    <vt:lpwstr>154D04107D9E4E76A29D1000442B26A5_12</vt:lpwstr>
  </property>
</Properties>
</file>