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560" w:lineRule="exact"/>
        <w:jc w:val="both"/>
        <w:rPr>
          <w:rFonts w:ascii="方正小标宋简体" w:eastAsia="方正小标宋简体"/>
          <w:sz w:val="44"/>
          <w:szCs w:val="44"/>
        </w:rPr>
      </w:pPr>
    </w:p>
    <w:p>
      <w:pPr>
        <w:spacing w:after="0" w:line="560" w:lineRule="exact"/>
        <w:jc w:val="center"/>
        <w:rPr>
          <w:rFonts w:hint="eastAsia" w:ascii="方正小标宋简体" w:eastAsia="方正小标宋简体"/>
          <w:sz w:val="44"/>
          <w:szCs w:val="44"/>
        </w:rPr>
      </w:pPr>
      <w:r>
        <w:rPr>
          <w:rFonts w:hint="eastAsia" w:ascii="方正小标宋简体" w:eastAsia="方正小标宋简体"/>
          <w:sz w:val="44"/>
          <w:szCs w:val="44"/>
        </w:rPr>
        <w:t>检查标准</w:t>
      </w:r>
    </w:p>
    <w:p>
      <w:pPr>
        <w:spacing w:after="0" w:line="560" w:lineRule="exact"/>
        <w:jc w:val="both"/>
        <w:rPr>
          <w:rFonts w:hint="eastAsia" w:ascii="仿宋_GB2312" w:eastAsia="仿宋_GB2312"/>
          <w:sz w:val="32"/>
          <w:szCs w:val="32"/>
        </w:rPr>
      </w:pPr>
    </w:p>
    <w:p>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lang w:eastAsia="zh-CN"/>
        </w:rPr>
        <w:t>一</w:t>
      </w:r>
      <w:r>
        <w:rPr>
          <w:rFonts w:hint="eastAsia" w:ascii="黑体" w:hAnsi="黑体" w:eastAsia="黑体"/>
          <w:sz w:val="32"/>
          <w:szCs w:val="32"/>
        </w:rPr>
        <w:t>、对测绘行业的行政检查</w:t>
      </w:r>
    </w:p>
    <w:p>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（一）测绘行业“双随机、一公开”监督检查</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1.测绘资质。单位专业技术人员、技术装备、相关制度等测绘资质情况是否符合当前测绘资质等级和业务范围。</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2.测绘行业安全生产（含消防安全）。单位是否有健全的安全生产（含消防安全）制度，安全生产制度是否有效执行。</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3.测绘质量。单位质量管理体系建立及运行、质量管理职责及落实、生产过程的质量管理情况。</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4.测绘项目备案登记。单位是否建立项目合同登记本，是否有测绘管理部门出具的备案登记材料，项目备案登记与项目合同是否对应，备案登记是否及时有效。</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5.测绘航空摄影活动。单位是否开展测绘航空摄影项目，是否具备备案登记、空域申请、成果保密等资料。</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6.相对独立的平面坐标系统。单位是否使用全国统一的测绘基准和坐标系统，是否参与建设相对独立的平面坐标系统，是否得到批准。</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7.外国的组织或者个人来华测绘。单位是否参与外国组织或者个人来华测绘项目，是否按照管理要求开展项目。</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8.测绘地理信息行业信用信息。单位是否有不良信用信息，发生的不良信用信息是否录入测绘地理信息行业信用管理平台。</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9.卫星导航定位基准站建设和运行维护。单位是否建设卫星导航定位基准站，建设卫星导航定位基准站是否向测绘地理信息主管部门备案，卫星导航定位基准站的建设和运行维护是否符合国家标准和要求。</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10.注册测绘师制度的实施。单位注册测绘师是否依法进行注册，是否按要求完成继续教育。</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11.测绘市场的监督。单位在测绘市场活动中是否有违法行为，是否在资质等级和业务范围内从事测绘活动，是否非法转包测绘项目，是否将测绘项目发包给不具有相应资质等级的测绘单位，是否有不正当竞争行为。</w:t>
      </w:r>
    </w:p>
    <w:p>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12.测绘地理信息统计。单位是否明确专人负责测绘地理信息统计工作，是否按要求报送测绘地理信息统计年报。</w:t>
      </w:r>
    </w:p>
    <w:p>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（二）测绘质量监督检验</w:t>
      </w:r>
    </w:p>
    <w:p>
      <w:pPr>
        <w:spacing w:after="0" w:line="560" w:lineRule="exact"/>
        <w:ind w:firstLine="640" w:firstLineChars="200"/>
        <w:jc w:val="both"/>
        <w:rPr>
          <w:rFonts w:hint="eastAsia" w:ascii="仿宋_GB2312" w:eastAsia="仿宋_GB2312"/>
          <w:sz w:val="32"/>
          <w:szCs w:val="32"/>
        </w:rPr>
        <w:sectPr>
          <w:headerReference r:id="rId5" w:type="default"/>
          <w:footerReference r:id="rId6" w:type="default"/>
          <w:pgSz w:w="11906" w:h="16838"/>
          <w:pgMar w:top="1440" w:right="1800" w:bottom="1440" w:left="1800" w:header="851" w:footer="992" w:gutter="0"/>
          <w:cols w:space="425" w:num="1"/>
          <w:docGrid w:type="lines" w:linePitch="312" w:charSpace="0"/>
        </w:sectPr>
      </w:pPr>
      <w:r>
        <w:rPr>
          <w:rFonts w:hint="eastAsia" w:ascii="仿宋_GB2312" w:eastAsia="仿宋_GB2312"/>
          <w:sz w:val="32"/>
          <w:szCs w:val="32"/>
        </w:rPr>
        <w:t>委托省测绘产品质量监督检验站，根据《测绘成果质量检查与验收》（GB/T 24356-2023），检查测绘项目成果质量是否合格。</w:t>
      </w:r>
    </w:p>
    <w:p>
      <w:pPr>
        <w:spacing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lang w:eastAsia="zh-CN"/>
        </w:rPr>
        <w:t>二</w:t>
      </w:r>
      <w:r>
        <w:rPr>
          <w:rFonts w:hint="eastAsia" w:ascii="黑体" w:hAnsi="黑体" w:eastAsia="黑体"/>
          <w:sz w:val="32"/>
          <w:szCs w:val="32"/>
        </w:rPr>
        <w:t>、对地图编制、出版、展示、登载和互联网地图服务的行政检查</w:t>
      </w:r>
    </w:p>
    <w:tbl>
      <w:tblPr>
        <w:tblStyle w:val="15"/>
        <w:tblW w:w="1317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8"/>
        <w:gridCol w:w="2835"/>
        <w:gridCol w:w="1984"/>
        <w:gridCol w:w="7371"/>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9"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序号</w:t>
            </w:r>
          </w:p>
        </w:tc>
        <w:tc>
          <w:tcPr>
            <w:tcW w:w="2835"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71"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111"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5"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对地图编制、出版、展示、登载和互联网地图服务的行政检查</w:t>
            </w:r>
          </w:p>
        </w:tc>
        <w:tc>
          <w:tcPr>
            <w:tcW w:w="1984"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地图审核通过件核查</w:t>
            </w:r>
          </w:p>
        </w:tc>
        <w:tc>
          <w:tcPr>
            <w:tcW w:w="7371"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1.上年度省级审核通过的地图，已向社会公开的，是否未按照审核要求修改。</w:t>
            </w:r>
          </w:p>
          <w:p>
            <w:pPr>
              <w:autoSpaceDN w:val="0"/>
              <w:spacing w:after="0" w:line="360" w:lineRule="exact"/>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2.是否弄虚作假、伪造申请材料骗取地图审核批准文件。</w:t>
            </w:r>
          </w:p>
          <w:p>
            <w:pPr>
              <w:autoSpaceDN w:val="0"/>
              <w:spacing w:after="0" w:line="360" w:lineRule="exact"/>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3.是否伪造、冒用地图审核批准文件和审图号。</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4.是否未在地图的适当位置显著标注审图号。</w:t>
            </w:r>
          </w:p>
        </w:tc>
      </w:tr>
    </w:tbl>
    <w:p>
      <w:pPr>
        <w:spacing w:before="156" w:beforeLines="50"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lang w:eastAsia="zh-CN"/>
        </w:rPr>
        <w:t>三</w:t>
      </w:r>
      <w:r>
        <w:rPr>
          <w:rFonts w:hint="eastAsia" w:ascii="黑体" w:hAnsi="黑体" w:eastAsia="黑体"/>
          <w:sz w:val="32"/>
          <w:szCs w:val="32"/>
        </w:rPr>
        <w:t>、对地理信息安全的行政检查</w:t>
      </w:r>
    </w:p>
    <w:tbl>
      <w:tblPr>
        <w:tblStyle w:val="15"/>
        <w:tblW w:w="1318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8"/>
        <w:gridCol w:w="2835"/>
        <w:gridCol w:w="1984"/>
        <w:gridCol w:w="737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ascii="黑体" w:hAnsi="黑体" w:eastAsia="黑体" w:cs="Arial"/>
                <w:sz w:val="28"/>
                <w:szCs w:val="28"/>
                <w14:ligatures w14:val="none"/>
              </w:rPr>
            </w:pPr>
            <w:r>
              <w:rPr>
                <w:rFonts w:hint="eastAsia" w:ascii="黑体" w:hAnsi="黑体" w:eastAsia="黑体" w:cs="Times New Roman"/>
                <w:sz w:val="28"/>
                <w:szCs w:val="28"/>
                <w14:ligatures w14:val="none"/>
              </w:rPr>
              <w:t>序号</w:t>
            </w:r>
          </w:p>
        </w:tc>
        <w:tc>
          <w:tcPr>
            <w:tcW w:w="2835"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76"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37" w:hRule="atLeast"/>
          <w:jc w:val="center"/>
        </w:trPr>
        <w:tc>
          <w:tcPr>
            <w:tcW w:w="988" w:type="dxa"/>
            <w:vMerge w:val="restart"/>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5" w:type="dxa"/>
            <w:vMerge w:val="restart"/>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地理信息安全管理</w:t>
            </w:r>
          </w:p>
        </w:tc>
        <w:tc>
          <w:tcPr>
            <w:tcW w:w="1984"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.档案管理</w:t>
            </w:r>
          </w:p>
        </w:tc>
        <w:tc>
          <w:tcPr>
            <w:tcW w:w="7376" w:type="dxa"/>
            <w:tcBorders>
              <w:top w:val="single" w:color="auto" w:sz="4" w:space="0"/>
              <w:left w:val="single" w:color="auto" w:sz="4" w:space="0"/>
              <w:bottom w:val="single" w:color="auto" w:sz="4" w:space="0"/>
              <w:right w:val="single" w:color="auto" w:sz="4" w:space="0"/>
            </w:tcBorders>
            <w:vAlign w:val="center"/>
          </w:tcPr>
          <w:p>
            <w:pPr>
              <w:autoSpaceDN w:val="0"/>
              <w:spacing w:before="62" w:beforeLines="20"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.单位领导重视地理信息成果资料档案管理工作，明确分管领导，并列入单位领导议事日程。</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.单位有专门的档案管理机构，配备了与工作相适应而且能胜任工作的档案人员，档案实现了集中统一管理。</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.建立了地理信息成果资料档案建档、归档、保管、借用、查阅、复制、汇交、销毁等制度。</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4</w:t>
            </w:r>
            <w:r>
              <w:rPr>
                <w:rFonts w:hint="eastAsia" w:ascii="仿宋_GB2312" w:hAnsi="等线" w:eastAsia="仿宋_GB2312" w:cs="Times New Roman"/>
                <w:sz w:val="28"/>
                <w:szCs w:val="28"/>
                <w14:ligatures w14:val="none"/>
              </w:rPr>
              <w:t>.档案资料的保管库房应有房屋所有权证或房屋租赁协议等其他证明文件。</w:t>
            </w:r>
          </w:p>
          <w:p>
            <w:pPr>
              <w:autoSpaceDN w:val="0"/>
              <w:spacing w:after="62" w:afterLines="2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5</w:t>
            </w:r>
            <w:r>
              <w:rPr>
                <w:rFonts w:hint="eastAsia" w:ascii="仿宋_GB2312" w:hAnsi="等线" w:eastAsia="仿宋_GB2312" w:cs="Times New Roman"/>
                <w:sz w:val="28"/>
                <w:szCs w:val="28"/>
                <w14:ligatures w14:val="none"/>
              </w:rPr>
              <w:t>.档案室具备防盗、防火、防光、防潮、防尘、防有害生物和污染等安全措施。</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35" w:hRule="atLeast"/>
          <w:jc w:val="center"/>
        </w:trPr>
        <w:tc>
          <w:tcPr>
            <w:tcW w:w="988" w:type="dxa"/>
            <w:vMerge w:val="continue"/>
            <w:tcBorders>
              <w:top w:val="single" w:color="auto" w:sz="4" w:space="0"/>
              <w:left w:val="single" w:color="auto" w:sz="4" w:space="0"/>
              <w:bottom w:val="single" w:color="auto" w:sz="4" w:space="0"/>
              <w:right w:val="single" w:color="auto" w:sz="4" w:space="0"/>
            </w:tcBorders>
            <w:vAlign w:val="center"/>
          </w:tcPr>
          <w:p>
            <w:pPr>
              <w:widowControl/>
              <w:spacing w:after="0" w:line="360" w:lineRule="exact"/>
              <w:rPr>
                <w:rFonts w:ascii="等线" w:hAnsi="等线" w:eastAsia="等线" w:cs="Arial"/>
                <w:sz w:val="28"/>
                <w:szCs w:val="28"/>
                <w14:ligatures w14:val="none"/>
              </w:rPr>
            </w:pPr>
          </w:p>
        </w:tc>
        <w:tc>
          <w:tcPr>
            <w:tcW w:w="2835" w:type="dxa"/>
            <w:vMerge w:val="continue"/>
            <w:tcBorders>
              <w:top w:val="single" w:color="auto" w:sz="4" w:space="0"/>
              <w:left w:val="single" w:color="auto" w:sz="4" w:space="0"/>
              <w:bottom w:val="single" w:color="auto" w:sz="4" w:space="0"/>
              <w:right w:val="single" w:color="auto" w:sz="4" w:space="0"/>
            </w:tcBorders>
            <w:vAlign w:val="center"/>
          </w:tcPr>
          <w:p>
            <w:pPr>
              <w:widowControl/>
              <w:spacing w:after="0" w:line="360" w:lineRule="exact"/>
              <w:rPr>
                <w:rFonts w:ascii="等线" w:hAnsi="等线" w:eastAsia="等线"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ascii="等线" w:hAnsi="等线" w:eastAsia="等线"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保密管理</w:t>
            </w:r>
          </w:p>
        </w:tc>
        <w:tc>
          <w:tcPr>
            <w:tcW w:w="7376"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单位领导重视保密工作，成立保密工作领导机构，确定本单位保密要害部门、部位。</w:t>
            </w:r>
          </w:p>
          <w:p>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建立了地理信息成果资料登记与定密、复制与保存、借阅与传递、加工与利用、延期使用与销毁、涉密人员管理、涉密测绘地理信息系统和设施设备管理、保密要害部门（部位）管理、安全保密自查、保密培训和宣传等制度体系。</w:t>
            </w:r>
          </w:p>
          <w:p>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与涉密人员及时签订保密责任书。</w:t>
            </w:r>
          </w:p>
          <w:p>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4</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保密人员经过培训上岗，有明确的保密岗位职责。</w:t>
            </w:r>
          </w:p>
          <w:p>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5</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每年至少开展二次保密教育活动且有记录，并积极参加自然资源、保密主管部门组织的保密培训。</w:t>
            </w:r>
          </w:p>
          <w:p>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6</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每季度至少开展一次保密自查且有自查记录。</w:t>
            </w:r>
          </w:p>
        </w:tc>
      </w:tr>
    </w:tbl>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p>
    <w:p>
      <w:pPr>
        <w:spacing w:before="156" w:beforeLines="50"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lang w:eastAsia="zh-CN"/>
        </w:rPr>
        <w:t>四</w:t>
      </w:r>
      <w:r>
        <w:rPr>
          <w:rFonts w:hint="eastAsia" w:ascii="黑体" w:hAnsi="黑体" w:eastAsia="黑体"/>
          <w:sz w:val="32"/>
          <w:szCs w:val="32"/>
        </w:rPr>
        <w:t>、对基础测绘成果使用情况的行政检查</w:t>
      </w:r>
    </w:p>
    <w:tbl>
      <w:tblPr>
        <w:tblStyle w:val="15"/>
        <w:tblW w:w="13205"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92"/>
        <w:gridCol w:w="2831"/>
        <w:gridCol w:w="1984"/>
        <w:gridCol w:w="739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4" w:hRule="atLeast"/>
          <w:jc w:val="center"/>
        </w:trPr>
        <w:tc>
          <w:tcPr>
            <w:tcW w:w="992"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序号</w:t>
            </w:r>
          </w:p>
        </w:tc>
        <w:tc>
          <w:tcPr>
            <w:tcW w:w="2831"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98"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65" w:hRule="atLeast"/>
          <w:jc w:val="center"/>
        </w:trPr>
        <w:tc>
          <w:tcPr>
            <w:tcW w:w="992" w:type="dxa"/>
            <w:vMerge w:val="restart"/>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1" w:type="dxa"/>
            <w:vMerge w:val="restart"/>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基础测绘成果使用情况</w:t>
            </w:r>
          </w:p>
        </w:tc>
        <w:tc>
          <w:tcPr>
            <w:tcW w:w="1984"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.成果管理</w:t>
            </w:r>
          </w:p>
        </w:tc>
        <w:tc>
          <w:tcPr>
            <w:tcW w:w="7398"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.借用、查阅、复制及销毁地理信息成果资料手续齐全。</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2.地理信息成果资料来源明确，手续齐全、完整。</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44" w:hRule="atLeast"/>
          <w:jc w:val="center"/>
        </w:trPr>
        <w:tc>
          <w:tcPr>
            <w:tcW w:w="992" w:type="dxa"/>
            <w:vMerge w:val="continue"/>
            <w:tcBorders>
              <w:top w:val="single" w:color="auto" w:sz="4" w:space="0"/>
              <w:left w:val="single" w:color="auto" w:sz="4" w:space="0"/>
              <w:bottom w:val="single" w:color="auto" w:sz="4" w:space="0"/>
              <w:right w:val="single" w:color="auto" w:sz="4" w:space="0"/>
            </w:tcBorders>
            <w:vAlign w:val="center"/>
          </w:tcPr>
          <w:p>
            <w:pPr>
              <w:widowControl/>
              <w:spacing w:after="0" w:line="360" w:lineRule="exact"/>
              <w:rPr>
                <w:rFonts w:hint="eastAsia" w:ascii="仿宋_GB2312" w:hAnsi="等线" w:eastAsia="仿宋_GB2312" w:cs="Arial"/>
                <w:sz w:val="28"/>
                <w:szCs w:val="28"/>
                <w14:ligatures w14:val="none"/>
              </w:rPr>
            </w:pPr>
          </w:p>
        </w:tc>
        <w:tc>
          <w:tcPr>
            <w:tcW w:w="2831" w:type="dxa"/>
            <w:vMerge w:val="continue"/>
            <w:tcBorders>
              <w:top w:val="single" w:color="auto" w:sz="4" w:space="0"/>
              <w:left w:val="single" w:color="auto" w:sz="4" w:space="0"/>
              <w:bottom w:val="single" w:color="auto" w:sz="4" w:space="0"/>
              <w:right w:val="single" w:color="auto" w:sz="4" w:space="0"/>
            </w:tcBorders>
            <w:vAlign w:val="center"/>
          </w:tcPr>
          <w:p>
            <w:pPr>
              <w:widowControl/>
              <w:spacing w:after="0" w:line="360" w:lineRule="exact"/>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.涉密设备管理</w:t>
            </w:r>
          </w:p>
        </w:tc>
        <w:tc>
          <w:tcPr>
            <w:tcW w:w="7398"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、涉密计算机、移动存储设备等涉密介质按照“统一购买</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统一标识</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严格登记</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集中管理”原则管理，统一编号，有标识、有台账.</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2、涉密计算机责任人明确，用户密码管理符合规定。</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3、安装了杀毒软件和内网安全管理软件。</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4、非涉密计算机无涉密信息。</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5、处理涉密数据的复印机、传真机、电话机、打印机、文字处理机等设备在本单位保密管理部门登记备案。</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54" w:hRule="atLeast"/>
          <w:jc w:val="center"/>
        </w:trPr>
        <w:tc>
          <w:tcPr>
            <w:tcW w:w="992" w:type="dxa"/>
            <w:vMerge w:val="continue"/>
            <w:tcBorders>
              <w:top w:val="single" w:color="auto" w:sz="4" w:space="0"/>
              <w:left w:val="single" w:color="auto" w:sz="4" w:space="0"/>
              <w:bottom w:val="single" w:color="auto" w:sz="4" w:space="0"/>
              <w:right w:val="single" w:color="auto" w:sz="4" w:space="0"/>
            </w:tcBorders>
            <w:vAlign w:val="center"/>
          </w:tcPr>
          <w:p>
            <w:pPr>
              <w:widowControl/>
              <w:spacing w:after="0" w:line="360" w:lineRule="exact"/>
              <w:rPr>
                <w:rFonts w:hint="eastAsia" w:ascii="仿宋_GB2312" w:hAnsi="等线" w:eastAsia="仿宋_GB2312" w:cs="Arial"/>
                <w:sz w:val="28"/>
                <w:szCs w:val="28"/>
                <w14:ligatures w14:val="none"/>
              </w:rPr>
            </w:pPr>
          </w:p>
        </w:tc>
        <w:tc>
          <w:tcPr>
            <w:tcW w:w="2831" w:type="dxa"/>
            <w:vMerge w:val="continue"/>
            <w:tcBorders>
              <w:top w:val="single" w:color="auto" w:sz="4" w:space="0"/>
              <w:left w:val="single" w:color="auto" w:sz="4" w:space="0"/>
              <w:bottom w:val="single" w:color="auto" w:sz="4" w:space="0"/>
              <w:right w:val="single" w:color="auto" w:sz="4" w:space="0"/>
            </w:tcBorders>
            <w:vAlign w:val="center"/>
          </w:tcPr>
          <w:p>
            <w:pPr>
              <w:widowControl/>
              <w:spacing w:after="0" w:line="360" w:lineRule="exact"/>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、涉密信息系统和涉密网络管理</w:t>
            </w:r>
          </w:p>
        </w:tc>
        <w:tc>
          <w:tcPr>
            <w:tcW w:w="7398" w:type="dxa"/>
            <w:tcBorders>
              <w:top w:val="single" w:color="auto" w:sz="4" w:space="0"/>
              <w:left w:val="single" w:color="auto" w:sz="4" w:space="0"/>
              <w:bottom w:val="single" w:color="auto" w:sz="4" w:space="0"/>
              <w:right w:val="single" w:color="auto" w:sz="4" w:space="0"/>
            </w:tcBorders>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、涉密信息系统实行物理隔离，未直接或间接连接互联网及其他任何网络。</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、涉密网络设施防盗、防火、防潮、防尘等措施完善，运行环境安全、整洁。</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39" w:hRule="atLeast"/>
          <w:jc w:val="center"/>
        </w:trPr>
        <w:tc>
          <w:tcPr>
            <w:tcW w:w="992" w:type="dxa"/>
            <w:vMerge w:val="restart"/>
            <w:tcBorders>
              <w:top w:val="single" w:color="auto" w:sz="4" w:space="0"/>
              <w:left w:val="single" w:color="auto" w:sz="4" w:space="0"/>
              <w:right w:val="single" w:color="auto" w:sz="4" w:space="0"/>
            </w:tcBorders>
            <w:shd w:val="clear" w:color="auto" w:fill="auto"/>
            <w:vAlign w:val="center"/>
          </w:tcPr>
          <w:p>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2</w:t>
            </w:r>
          </w:p>
        </w:tc>
        <w:tc>
          <w:tcPr>
            <w:tcW w:w="2831" w:type="dxa"/>
            <w:vMerge w:val="restart"/>
            <w:tcBorders>
              <w:top w:val="single" w:color="auto" w:sz="4" w:space="0"/>
              <w:left w:val="single" w:color="auto" w:sz="4" w:space="0"/>
              <w:right w:val="single" w:color="auto" w:sz="4" w:space="0"/>
            </w:tcBorders>
            <w:shd w:val="clear" w:color="auto" w:fill="auto"/>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成果汇交情况</w:t>
            </w: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.汇交情况</w:t>
            </w:r>
          </w:p>
        </w:tc>
        <w:tc>
          <w:tcPr>
            <w:tcW w:w="7398" w:type="dxa"/>
            <w:tcBorders>
              <w:top w:val="single" w:color="auto" w:sz="4" w:space="0"/>
              <w:left w:val="single" w:color="auto" w:sz="4" w:space="0"/>
              <w:bottom w:val="single" w:color="auto" w:sz="4" w:space="0"/>
              <w:right w:val="single" w:color="auto" w:sz="4" w:space="0"/>
            </w:tcBorders>
            <w:shd w:val="clear" w:color="auto" w:fill="auto"/>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、测绘成果应汇交项目与实际汇交项目一致。</w:t>
            </w:r>
          </w:p>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、汇交清单完整全面。</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5" w:hRule="atLeast"/>
          <w:jc w:val="center"/>
        </w:trPr>
        <w:tc>
          <w:tcPr>
            <w:tcW w:w="992" w:type="dxa"/>
            <w:vMerge w:val="continue"/>
            <w:tcBorders>
              <w:left w:val="single" w:color="auto" w:sz="4" w:space="0"/>
              <w:bottom w:val="single" w:color="auto" w:sz="4" w:space="0"/>
              <w:right w:val="single" w:color="auto" w:sz="4" w:space="0"/>
            </w:tcBorders>
            <w:vAlign w:val="center"/>
          </w:tcPr>
          <w:p>
            <w:pPr>
              <w:widowControl/>
              <w:spacing w:after="0" w:line="360" w:lineRule="exact"/>
              <w:rPr>
                <w:rFonts w:hint="eastAsia" w:ascii="仿宋_GB2312" w:hAnsi="等线" w:eastAsia="仿宋_GB2312" w:cs="Arial"/>
                <w:sz w:val="28"/>
                <w:szCs w:val="28"/>
                <w14:ligatures w14:val="none"/>
              </w:rPr>
            </w:pPr>
          </w:p>
        </w:tc>
        <w:tc>
          <w:tcPr>
            <w:tcW w:w="2831" w:type="dxa"/>
            <w:vMerge w:val="continue"/>
            <w:tcBorders>
              <w:left w:val="single" w:color="auto" w:sz="4" w:space="0"/>
              <w:bottom w:val="single" w:color="auto" w:sz="4" w:space="0"/>
              <w:right w:val="single" w:color="auto" w:sz="4" w:space="0"/>
            </w:tcBorders>
            <w:vAlign w:val="center"/>
          </w:tcPr>
          <w:p>
            <w:pPr>
              <w:widowControl/>
              <w:spacing w:after="0" w:line="360" w:lineRule="exact"/>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.汇交凭证</w:t>
            </w:r>
          </w:p>
        </w:tc>
        <w:tc>
          <w:tcPr>
            <w:tcW w:w="7398" w:type="dxa"/>
            <w:tcBorders>
              <w:top w:val="single" w:color="auto" w:sz="4" w:space="0"/>
              <w:left w:val="single" w:color="auto" w:sz="4" w:space="0"/>
              <w:bottom w:val="single" w:color="auto" w:sz="4" w:space="0"/>
              <w:right w:val="single" w:color="auto" w:sz="4" w:space="0"/>
            </w:tcBorders>
            <w:shd w:val="clear" w:color="auto" w:fill="auto"/>
            <w:vAlign w:val="center"/>
          </w:tcPr>
          <w:p>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、汇交凭证齐全，保存完好。</w:t>
            </w:r>
          </w:p>
        </w:tc>
      </w:tr>
    </w:tbl>
    <w:p>
      <w:pPr>
        <w:spacing w:after="0" w:line="560" w:lineRule="exact"/>
        <w:rPr>
          <w:rFonts w:hint="eastAsia" w:ascii="仿宋_GB2312" w:eastAsia="仿宋_GB2312"/>
          <w:sz w:val="32"/>
          <w:szCs w:val="32"/>
        </w:rPr>
        <w:sectPr>
          <w:pgSz w:w="16838" w:h="11906" w:orient="landscape"/>
          <w:pgMar w:top="1588" w:right="1474" w:bottom="1474" w:left="1474"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after="0" w:line="560" w:lineRule="exact"/>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五、安全生产日常检查</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落实省级检查任务，开展安全生产日常检查</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（一）对地勘、测绘行业生产经营单位安全生产教育培训方面的检查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sz w:val="32"/>
          <w:szCs w:val="32"/>
          <w:lang w:val="en-US" w:eastAsia="zh-CN"/>
        </w:rPr>
        <w:t>1.</w:t>
      </w:r>
      <w:r>
        <w:rPr>
          <w:rFonts w:hint="eastAsia" w:ascii="仿宋_GB2312" w:hAnsi="仿宋_GB2312" w:eastAsia="仿宋_GB2312" w:cs="仿宋_GB2312"/>
          <w:sz w:val="32"/>
          <w:szCs w:val="32"/>
          <w:lang w:val="en-US" w:eastAsia="zh-CN"/>
        </w:rPr>
        <w:t>是否定期对人员进行安全生产教育培训，建立安全生产教育培训台账。</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2.纳入培训的安全生产相关法规政策文件是否齐全，主管部门关于安全生产工作的提醒、要求和部署是否及时传达学习。</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3.是否充分细化纳入培训的安全生产制度，是否充分涵盖安全生产管理规定、生产安全事故应急救援预案、消防应急预案、安全生产常识和操作规程等内容。</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4.是否定期组织开展安全生产应急演练。</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highlight w:val="none"/>
          <w:lang w:val="en-US" w:eastAsia="zh-CN"/>
        </w:rPr>
        <w:t>5.培训过程是否流于形式，生产人员能否掌握基本的安全应急处置技能。</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（二）对地勘、测绘行业生产经营单位外业项目驻地安全方面</w:t>
      </w:r>
      <w:r>
        <w:rPr>
          <w:rFonts w:hint="eastAsia" w:ascii="楷体_GB2312" w:hAnsi="楷体_GB2312" w:eastAsia="楷体_GB2312" w:cs="楷体_GB2312"/>
          <w:sz w:val="32"/>
          <w:szCs w:val="32"/>
          <w:lang w:val="en-US" w:eastAsia="zh-CN"/>
        </w:rPr>
        <w:t>的检查</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1.外业项目驻地是否存在滑坡、山洪、泥石流等自然灾害以及饮水、动物侵袭风险。</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r>
        <w:rPr>
          <w:rFonts w:hint="default" w:ascii="仿宋_GB2312" w:hAnsi="仿宋_GB2312" w:eastAsia="仿宋_GB2312" w:cs="仿宋_GB2312"/>
          <w:sz w:val="32"/>
          <w:szCs w:val="32"/>
          <w:highlight w:val="none"/>
          <w:lang w:val="en-US" w:eastAsia="zh-CN"/>
        </w:rPr>
        <w:t>用电线路</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老化，</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使用铜铝等金属丝代替熔断丝</w:t>
      </w:r>
      <w:r>
        <w:rPr>
          <w:rFonts w:hint="eastAsia" w:ascii="仿宋_GB2312" w:hAnsi="仿宋_GB2312" w:eastAsia="仿宋_GB2312" w:cs="仿宋_GB2312"/>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r>
        <w:rPr>
          <w:rFonts w:hint="default" w:ascii="仿宋_GB2312" w:hAnsi="仿宋_GB2312" w:eastAsia="仿宋_GB2312" w:cs="仿宋_GB2312"/>
          <w:sz w:val="32"/>
          <w:szCs w:val="32"/>
          <w:highlight w:val="none"/>
          <w:lang w:val="en-US" w:eastAsia="zh-CN"/>
        </w:rPr>
        <w:t>电源线、电源插板</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随意私拉摆放，</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存在易破损、易进水等漏电风险。</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w:t>
      </w:r>
      <w:r>
        <w:rPr>
          <w:rFonts w:hint="default" w:ascii="仿宋_GB2312" w:hAnsi="仿宋_GB2312" w:eastAsia="仿宋_GB2312" w:cs="仿宋_GB2312"/>
          <w:sz w:val="32"/>
          <w:szCs w:val="32"/>
          <w:highlight w:val="none"/>
          <w:lang w:val="en-US" w:eastAsia="zh-CN"/>
        </w:rPr>
        <w:t>配备灭火器，或灭火器</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过期失效，或灭火器的规格、质量</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符合要求。</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5.工具设备是否放于边坡外侧虚土之上，是否整齐摆放在靠山地面牢固一侧，是否存在滑落损毁的安全隐患。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6.有尖锐棱角的设备是否有防护罩（套），是否存在扎伤人员的安全隐患。</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（三）对地勘、测绘行业生产经营单位外业作业安全方面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1.是否与全部外业人员签订岗位安全生产责任书，落实安全生产责任制。</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2.外业作业前，是否对作业人员进行安全知识和安全技能培训。</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3.是否在连日阴雨、矿区进山道路湿滑、路边陡坡处有滑塌等情况外出作业。</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4.在道路作业时是否设置明显安全警示标识。</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5.外业作业是否聘用当地向导，是否提前调查作业区域高压线路、地下电缆、油气管道分布情况，是否识别判断地层稳定性、有毒气体赋存情况。</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6.油气钻井是否安装防喷器，钻井施工是否存在安全隐患。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7.是否探槽深度大于3米、宽度小于0.6米，两壁坡度过陡，土石堆放是否过近，是否存在坍塌风险。</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8.爆破作业是否遵守有关技术规范指引，爆炸物品是否及时向公安等有关部门报备。</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9.现场是否存在交叉作业情况，现场施工人员安全防护措施是否不当，基坑监测、边坡测量作业人员是否佩戴安全绳。</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10.在无人区域、高风险区域野外作业时是否存在单人或单车承担任务的情况，首次参与野外作业人员是否与其他有经验人员结队同行。</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11.仪器与装备搬运过程中，作业人员是否佩戴手套和野外作业专用鞋。</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12.是否按要求佩戴作业安全帽、穿戴反光背心，水上作业是否穿戴救生衣。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13.外业生产人员是否按要求配备通讯工具和定位装置，外业工作期间，是否做到每日报送安全情况。</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14.高温天气户外作业是否配备防暑降温药物，作业人员是否注意防暑降温，是否避开高温时段作业。</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15.是否及时向测区所在地行业主管部门通报备案。</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（四）对地勘、测绘行业生产经营单位交通安全方面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1.单位是否定期检查、保养、年检野外用车，外业作业前是否检查车况。</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2.驾驶员是否存在超速、疲劳驾驶、酒驾醉驾等违法行为。</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3.外业作业行车过程中，车辆主副驾和后排人员位置是否系安全带，车内物品等是否过多，是否遮挡后视镜视线。</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4.是否在大风扬尘、暴雨、浓雾等极端恶劣天气进行野外行驶。</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5.野外作业期间，是否能对车辆和人员的活动轨迹进行全程跟踪记录，是否实时了解其活动情况。</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（五）对地勘、测绘行业生产经营单位</w:t>
      </w:r>
      <w:r>
        <w:rPr>
          <w:rFonts w:hint="default" w:ascii="楷体_GB2312" w:eastAsia="楷体_GB2312"/>
          <w:sz w:val="32"/>
          <w:szCs w:val="32"/>
          <w:lang w:val="en-US" w:eastAsia="zh-CN"/>
        </w:rPr>
        <w:t>实验室、办公室、保密室（档案室）等室内安全</w:t>
      </w:r>
      <w:r>
        <w:rPr>
          <w:rFonts w:hint="eastAsia" w:ascii="楷体_GB2312" w:eastAsia="楷体_GB2312"/>
          <w:sz w:val="32"/>
          <w:szCs w:val="32"/>
          <w:lang w:val="en-US" w:eastAsia="zh-CN"/>
        </w:rPr>
        <w:t>方面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1.危险化学品储存、使用和处置等环节是否存在安全风险。</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2.实验室产生有毒有害气体场所是否有通风净化设施。</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3.放射性仪器设备是否有防护装置。</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4.仪器设备的电池在充电过程中人员是否临时外出，无人值守，是否存在用电安全隐患。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5.下班是否关闭办公室门窗、电脑和取暖器等电器电源，电源插板是否随意私拉摆放。</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6.是否存在线路及插座老化，或者连接超出线路负载的大功率电器，是否存在用电安全隐患。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7.易燃易爆物品是否随意混淆摆放，是否摆放在规定的区域。</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8.堆放纸质材料等易燃助燃物过多，是否按有关规定配备消防设施，是否存在火灾安全隐患。</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9.是否定期或按时检查灭火器等消防设施、安全劳保用品是否过期，是否及时重新购置、更换。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10.保密室（档案室）是否缺乏防虫、防潮措施，灭虫剂、吸水袋是否定期更换，是否缺少监控保密措施。</w:t>
      </w:r>
    </w:p>
    <w:p>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（六）对地勘、测绘行业生产经营单位</w:t>
      </w:r>
      <w:r>
        <w:rPr>
          <w:rFonts w:hint="default" w:ascii="楷体_GB2312" w:eastAsia="楷体_GB2312"/>
          <w:sz w:val="32"/>
          <w:szCs w:val="32"/>
          <w:lang w:val="en-US" w:eastAsia="zh-CN"/>
        </w:rPr>
        <w:t>安全</w:t>
      </w:r>
      <w:r>
        <w:rPr>
          <w:rFonts w:hint="eastAsia" w:ascii="楷体_GB2312" w:eastAsia="楷体_GB2312"/>
          <w:sz w:val="32"/>
          <w:szCs w:val="32"/>
          <w:lang w:val="en-US" w:eastAsia="zh-CN"/>
        </w:rPr>
        <w:t>装备方面</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1.单位是否给外业作业人员、车辆、船舶和飞机配置北斗终端等报位设备，或报位设备是否正常工作。</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2.在手机通讯信号未覆盖地区作业，单位是否给野外作业人员配备必要的卫星电话或卫星电话是否能使用。</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3.在手机无信号或信号较弱区域、人员较少区域，单位是否禁止外业人员单人外出作业。</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4.单位是否配发必要的通讯器材、防雨保温衣物、劳保装备、急救装备等。</w:t>
      </w:r>
    </w:p>
    <w:p>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eastAsia="仿宋_GB2312"/>
          <w:sz w:val="32"/>
          <w:szCs w:val="32"/>
        </w:rPr>
      </w:pPr>
      <w:r>
        <w:rPr>
          <w:rFonts w:hint="eastAsia" w:ascii="仿宋_GB2312" w:hAnsi="仿宋_GB2312" w:eastAsia="仿宋_GB2312" w:cs="仿宋_GB2312"/>
          <w:sz w:val="32"/>
          <w:szCs w:val="32"/>
          <w:highlight w:val="none"/>
          <w:lang w:val="en-US" w:eastAsia="zh-CN"/>
        </w:rPr>
        <w:t>5.单位是否严格按照有关规定对仪器装备的安全性能等进行检查。</w:t>
      </w:r>
      <w:bookmarkStart w:id="0" w:name="_GoBack"/>
      <w:bookmarkEnd w:id="0"/>
    </w:p>
    <w:sectPr>
      <w:pgSz w:w="11906" w:h="16838"/>
      <w:pgMar w:top="1474" w:right="1474" w:bottom="1474"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473"/>
    <w:rsid w:val="00006189"/>
    <w:rsid w:val="0007264C"/>
    <w:rsid w:val="000C3B9E"/>
    <w:rsid w:val="001353B4"/>
    <w:rsid w:val="00142548"/>
    <w:rsid w:val="00151E35"/>
    <w:rsid w:val="001B296D"/>
    <w:rsid w:val="001B5693"/>
    <w:rsid w:val="00225B27"/>
    <w:rsid w:val="00233FFD"/>
    <w:rsid w:val="0025655A"/>
    <w:rsid w:val="00266946"/>
    <w:rsid w:val="003873C9"/>
    <w:rsid w:val="003E2667"/>
    <w:rsid w:val="0040269D"/>
    <w:rsid w:val="004747C5"/>
    <w:rsid w:val="004A6F7C"/>
    <w:rsid w:val="004B2E62"/>
    <w:rsid w:val="00530EBB"/>
    <w:rsid w:val="00531443"/>
    <w:rsid w:val="00566CF3"/>
    <w:rsid w:val="00571500"/>
    <w:rsid w:val="005B3F78"/>
    <w:rsid w:val="005C0F78"/>
    <w:rsid w:val="0060076B"/>
    <w:rsid w:val="006272A5"/>
    <w:rsid w:val="0063061D"/>
    <w:rsid w:val="006C40E3"/>
    <w:rsid w:val="007320B9"/>
    <w:rsid w:val="007623D4"/>
    <w:rsid w:val="007C4473"/>
    <w:rsid w:val="007F114C"/>
    <w:rsid w:val="00800D15"/>
    <w:rsid w:val="00802237"/>
    <w:rsid w:val="00843AAB"/>
    <w:rsid w:val="00860AA3"/>
    <w:rsid w:val="008863BE"/>
    <w:rsid w:val="008E6BE1"/>
    <w:rsid w:val="0092118C"/>
    <w:rsid w:val="00925054"/>
    <w:rsid w:val="00936679"/>
    <w:rsid w:val="00961807"/>
    <w:rsid w:val="009935A7"/>
    <w:rsid w:val="009A1F18"/>
    <w:rsid w:val="009E0B19"/>
    <w:rsid w:val="00A33E2A"/>
    <w:rsid w:val="00AA499B"/>
    <w:rsid w:val="00B14F23"/>
    <w:rsid w:val="00B20693"/>
    <w:rsid w:val="00B60EFE"/>
    <w:rsid w:val="00BB70DD"/>
    <w:rsid w:val="00BB7795"/>
    <w:rsid w:val="00BC0F31"/>
    <w:rsid w:val="00C46F9D"/>
    <w:rsid w:val="00C5058B"/>
    <w:rsid w:val="00C86CA2"/>
    <w:rsid w:val="00CA26B4"/>
    <w:rsid w:val="00CB6887"/>
    <w:rsid w:val="00CC5392"/>
    <w:rsid w:val="00CD0451"/>
    <w:rsid w:val="00CF5FCB"/>
    <w:rsid w:val="00D14678"/>
    <w:rsid w:val="00D86260"/>
    <w:rsid w:val="00DA1169"/>
    <w:rsid w:val="00E37985"/>
    <w:rsid w:val="00E43021"/>
    <w:rsid w:val="00E46B34"/>
    <w:rsid w:val="00E544FA"/>
    <w:rsid w:val="00E83A1F"/>
    <w:rsid w:val="00EB117C"/>
    <w:rsid w:val="00EE209C"/>
    <w:rsid w:val="00EE29E4"/>
    <w:rsid w:val="00F103BF"/>
    <w:rsid w:val="00F66F23"/>
    <w:rsid w:val="00F8406C"/>
    <w:rsid w:val="00F85DB9"/>
    <w:rsid w:val="00FD3CA1"/>
    <w:rsid w:val="0603698C"/>
    <w:rsid w:val="27DC4A9E"/>
    <w:rsid w:val="746C2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8"/>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0"/>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1"/>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2"/>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23"/>
    <w:semiHidden/>
    <w:unhideWhenUsed/>
    <w:qFormat/>
    <w:uiPriority w:val="9"/>
    <w:pPr>
      <w:keepNext/>
      <w:keepLines/>
      <w:spacing w:before="40" w:after="0"/>
      <w:outlineLvl w:val="5"/>
    </w:pPr>
    <w:rPr>
      <w:rFonts w:cstheme="majorBidi"/>
      <w:b/>
      <w:bCs/>
      <w:color w:val="104862" w:themeColor="accent1" w:themeShade="BF"/>
    </w:rPr>
  </w:style>
  <w:style w:type="paragraph" w:styleId="8">
    <w:name w:val="heading 7"/>
    <w:basedOn w:val="1"/>
    <w:next w:val="1"/>
    <w:link w:val="24"/>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6"/>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8"/>
    <w:unhideWhenUsed/>
    <w:qFormat/>
    <w:uiPriority w:val="99"/>
    <w:pPr>
      <w:tabs>
        <w:tab w:val="center" w:pos="4153"/>
        <w:tab w:val="right" w:pos="8306"/>
      </w:tabs>
      <w:snapToGrid w:val="0"/>
      <w:spacing w:line="240" w:lineRule="auto"/>
    </w:pPr>
    <w:rPr>
      <w:sz w:val="18"/>
      <w:szCs w:val="18"/>
    </w:rPr>
  </w:style>
  <w:style w:type="paragraph" w:styleId="12">
    <w:name w:val="header"/>
    <w:basedOn w:val="1"/>
    <w:link w:val="37"/>
    <w:unhideWhenUsed/>
    <w:qFormat/>
    <w:uiPriority w:val="99"/>
    <w:pPr>
      <w:tabs>
        <w:tab w:val="center" w:pos="4153"/>
        <w:tab w:val="right" w:pos="8306"/>
      </w:tabs>
      <w:snapToGrid w:val="0"/>
      <w:spacing w:line="240" w:lineRule="auto"/>
      <w:jc w:val="center"/>
    </w:pPr>
    <w:rPr>
      <w:sz w:val="18"/>
      <w:szCs w:val="18"/>
    </w:rPr>
  </w:style>
  <w:style w:type="paragraph" w:styleId="13">
    <w:name w:val="Subtitle"/>
    <w:basedOn w:val="1"/>
    <w:next w:val="1"/>
    <w:link w:val="28"/>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7"/>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table" w:styleId="16">
    <w:name w:val="Table Grid"/>
    <w:basedOn w:val="15"/>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8">
    <w:name w:val="标题 1 字符"/>
    <w:basedOn w:val="17"/>
    <w:link w:val="2"/>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4"/>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3"/>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table" w:customStyle="1" w:styleId="36">
    <w:name w:val="网格型1"/>
    <w:basedOn w:val="15"/>
    <w:qFormat/>
    <w:uiPriority w:val="39"/>
    <w:pPr>
      <w:spacing w:after="0" w:line="240" w:lineRule="auto"/>
    </w:pPr>
    <w:rPr>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7">
    <w:name w:val="页眉 字符"/>
    <w:basedOn w:val="17"/>
    <w:link w:val="12"/>
    <w:qFormat/>
    <w:uiPriority w:val="99"/>
    <w:rPr>
      <w:sz w:val="18"/>
      <w:szCs w:val="18"/>
    </w:rPr>
  </w:style>
  <w:style w:type="character" w:customStyle="1" w:styleId="38">
    <w:name w:val="页脚 字符"/>
    <w:basedOn w:val="17"/>
    <w:link w:val="11"/>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41A35-8A02-4968-A8F4-70B9BDF070AE}">
  <ds:schemaRefs/>
</ds:datastoreItem>
</file>

<file path=docProps/app.xml><?xml version="1.0" encoding="utf-8"?>
<Properties xmlns="http://schemas.openxmlformats.org/officeDocument/2006/extended-properties" xmlns:vt="http://schemas.openxmlformats.org/officeDocument/2006/docPropsVTypes">
  <Template>Normal</Template>
  <Pages>20</Pages>
  <Words>6392</Words>
  <Characters>6480</Characters>
  <Lines>48</Lines>
  <Paragraphs>13</Paragraphs>
  <TotalTime>6</TotalTime>
  <ScaleCrop>false</ScaleCrop>
  <LinksUpToDate>false</LinksUpToDate>
  <CharactersWithSpaces>6615</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2025-03-02T05:49:00Z</dcterms:created>
  <dc:creator>志达 刘</dc:creator>
  <cp:lastModifiedBy>Administrator</cp:lastModifiedBy>
  <dcterms:modified xsi:type="dcterms:W3CDTF">2025-11-06T09:30:16Z</dcterms:modified>
  <cp:revision>496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eyJoZGlkIjoiYzIxNjgwYjA0YmVjOWNkN2E1ZDdiZjdiOTNjYjM3MjEiLCJ1c2VySWQiOiIyNTExODY4NzgifQ==</vt:lpwstr>
  </property>
  <property fmtid="{D5CDD505-2E9C-101B-9397-08002B2CF9AE}" pid="3" name="KSOProductBuildVer">
    <vt:lpwstr>2052-11.8.6.11825</vt:lpwstr>
  </property>
  <property fmtid="{D5CDD505-2E9C-101B-9397-08002B2CF9AE}" pid="4" name="ICV">
    <vt:lpwstr>65C53771814440C68E40F2B489627F79_12</vt:lpwstr>
  </property>
</Properties>
</file>