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方正小标宋简体" w:hAnsi="方正小标宋简体" w:eastAsia="方正小标宋简体" w:cs="方正小标宋简体"/>
          <w:b w:val="0"/>
          <w:bCs w:val="0"/>
          <w:i w:val="0"/>
          <w:caps w:val="0"/>
          <w:color w:val="auto"/>
          <w:spacing w:val="0"/>
          <w:sz w:val="44"/>
          <w:szCs w:val="44"/>
          <w:bdr w:val="none" w:color="auto" w:sz="0" w:space="0"/>
          <w:shd w:val="clear" w:fill="FFFFFF"/>
          <w:lang w:val="en-US" w:eastAsia="zh-CN"/>
        </w:rPr>
      </w:pPr>
      <w:r>
        <w:rPr>
          <w:rFonts w:hint="eastAsia" w:ascii="方正小标宋简体" w:hAnsi="方正小标宋简体" w:eastAsia="方正小标宋简体" w:cs="方正小标宋简体"/>
          <w:b w:val="0"/>
          <w:bCs w:val="0"/>
          <w:i w:val="0"/>
          <w:caps w:val="0"/>
          <w:color w:val="auto"/>
          <w:spacing w:val="0"/>
          <w:sz w:val="44"/>
          <w:szCs w:val="44"/>
          <w:bdr w:val="none" w:color="auto" w:sz="0" w:space="0"/>
          <w:shd w:val="clear" w:fill="FFFFFF"/>
          <w:lang w:val="en-US" w:eastAsia="zh-CN"/>
        </w:rPr>
        <w:t>赵县科学技术和工业信息化局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仿宋_GB2312" w:hAnsi="微软雅黑" w:eastAsia="仿宋_GB2312" w:cs="仿宋_GB2312"/>
          <w:i w:val="0"/>
          <w:caps w:val="0"/>
          <w:color w:val="auto"/>
          <w:spacing w:val="0"/>
          <w:sz w:val="31"/>
          <w:szCs w:val="31"/>
          <w:bdr w:val="none" w:color="auto" w:sz="0" w:space="0"/>
          <w:shd w:val="clear" w:fill="FFFFFF"/>
          <w:lang w:val="en-US" w:eastAsia="zh-CN"/>
        </w:rPr>
      </w:pPr>
      <w:r>
        <w:rPr>
          <w:rFonts w:hint="eastAsia" w:ascii="方正小标宋简体" w:hAnsi="方正小标宋简体" w:eastAsia="方正小标宋简体" w:cs="方正小标宋简体"/>
          <w:b w:val="0"/>
          <w:bCs w:val="0"/>
          <w:i w:val="0"/>
          <w:caps w:val="0"/>
          <w:color w:val="auto"/>
          <w:spacing w:val="0"/>
          <w:sz w:val="44"/>
          <w:szCs w:val="44"/>
          <w:shd w:val="clear" w:fill="FFFFFF"/>
        </w:rPr>
        <w:t>行政执法责任追究制度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ascii="仿宋_GB2312" w:hAnsi="微软雅黑" w:eastAsia="仿宋_GB2312" w:cs="仿宋_GB2312"/>
          <w:i w:val="0"/>
          <w:caps w:val="0"/>
          <w:color w:val="auto"/>
          <w:spacing w:val="0"/>
          <w:sz w:val="31"/>
          <w:szCs w:val="31"/>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ascii="微软雅黑" w:hAnsi="微软雅黑" w:eastAsia="微软雅黑" w:cs="微软雅黑"/>
          <w:i w:val="0"/>
          <w:caps w:val="0"/>
          <w:color w:val="auto"/>
          <w:spacing w:val="0"/>
          <w:sz w:val="24"/>
          <w:szCs w:val="24"/>
        </w:rPr>
      </w:pPr>
      <w:r>
        <w:rPr>
          <w:rFonts w:ascii="仿宋_GB2312" w:hAnsi="微软雅黑" w:eastAsia="仿宋_GB2312" w:cs="仿宋_GB2312"/>
          <w:i w:val="0"/>
          <w:caps w:val="0"/>
          <w:color w:val="auto"/>
          <w:spacing w:val="0"/>
          <w:sz w:val="31"/>
          <w:szCs w:val="31"/>
          <w:bdr w:val="none" w:color="auto" w:sz="0" w:space="0"/>
          <w:shd w:val="clear" w:fill="FFFFFF"/>
        </w:rPr>
        <w:t>第一条</w:t>
      </w:r>
      <w:r>
        <w:rPr>
          <w:rFonts w:hint="eastAsia" w:ascii="仿宋_GB2312" w:hAnsi="微软雅黑" w:eastAsia="仿宋_GB2312" w:cs="仿宋_GB2312"/>
          <w:i w:val="0"/>
          <w:caps w:val="0"/>
          <w:color w:val="auto"/>
          <w:spacing w:val="0"/>
          <w:sz w:val="31"/>
          <w:szCs w:val="31"/>
          <w:bdr w:val="none" w:color="auto" w:sz="0" w:space="0"/>
          <w:shd w:val="clear" w:fill="FFFFFF"/>
        </w:rPr>
        <w:t>  为强化服务意识，严肃工作纪律，保证政令畅通，促进机关效能建设，提高办事效率，根据有关法律、法规和政策规定，结合我局实际情况，制定本制度。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hint="eastAsia" w:ascii="微软雅黑" w:hAnsi="微软雅黑" w:eastAsia="微软雅黑" w:cs="微软雅黑"/>
          <w:i w:val="0"/>
          <w:caps w:val="0"/>
          <w:color w:val="auto"/>
          <w:spacing w:val="0"/>
          <w:sz w:val="24"/>
          <w:szCs w:val="24"/>
        </w:rPr>
      </w:pPr>
      <w:r>
        <w:rPr>
          <w:rFonts w:hint="eastAsia" w:ascii="仿宋_GB2312" w:hAnsi="微软雅黑" w:eastAsia="仿宋_GB2312" w:cs="仿宋_GB2312"/>
          <w:i w:val="0"/>
          <w:caps w:val="0"/>
          <w:color w:val="auto"/>
          <w:spacing w:val="0"/>
          <w:sz w:val="31"/>
          <w:szCs w:val="31"/>
          <w:bdr w:val="none" w:color="auto" w:sz="0" w:space="0"/>
          <w:shd w:val="clear" w:fill="FFFFFF"/>
        </w:rPr>
        <w:t>第二条  工作责任追究制度是指对机关行政工作人员违反首问责任制、限时办结制、服务承诺制等，在工作中违反有关规章制度，不能较好地履行职责导致差错或过失事故发生，或者造成不良影响、甚至产生严重后果的，应当追究其责任，并给予相应处罚的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hint="eastAsia" w:ascii="微软雅黑" w:hAnsi="微软雅黑" w:eastAsia="微软雅黑" w:cs="微软雅黑"/>
          <w:i w:val="0"/>
          <w:caps w:val="0"/>
          <w:color w:val="auto"/>
          <w:spacing w:val="0"/>
          <w:sz w:val="24"/>
          <w:szCs w:val="24"/>
        </w:rPr>
      </w:pPr>
      <w:r>
        <w:rPr>
          <w:rFonts w:hint="eastAsia" w:ascii="仿宋_GB2312" w:hAnsi="微软雅黑" w:eastAsia="仿宋_GB2312" w:cs="仿宋_GB2312"/>
          <w:i w:val="0"/>
          <w:caps w:val="0"/>
          <w:color w:val="auto"/>
          <w:spacing w:val="0"/>
          <w:sz w:val="31"/>
          <w:szCs w:val="31"/>
          <w:bdr w:val="none" w:color="auto" w:sz="0" w:space="0"/>
          <w:shd w:val="clear" w:fill="FFFFFF"/>
        </w:rPr>
        <w:t>第三条  实行工作责任追究时，坚持实事求是、客观公正、有责必问、有错必纠和教育与惩处相结合的原则。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hint="eastAsia" w:ascii="微软雅黑" w:hAnsi="微软雅黑" w:eastAsia="微软雅黑" w:cs="微软雅黑"/>
          <w:i w:val="0"/>
          <w:caps w:val="0"/>
          <w:color w:val="auto"/>
          <w:spacing w:val="0"/>
          <w:sz w:val="24"/>
          <w:szCs w:val="24"/>
        </w:rPr>
      </w:pPr>
      <w:r>
        <w:rPr>
          <w:rFonts w:hint="eastAsia" w:ascii="仿宋_GB2312" w:hAnsi="微软雅黑" w:eastAsia="仿宋_GB2312" w:cs="仿宋_GB2312"/>
          <w:i w:val="0"/>
          <w:caps w:val="0"/>
          <w:color w:val="auto"/>
          <w:spacing w:val="0"/>
          <w:sz w:val="31"/>
          <w:szCs w:val="31"/>
          <w:bdr w:val="none" w:color="auto" w:sz="0" w:space="0"/>
          <w:shd w:val="clear" w:fill="FFFFFF"/>
        </w:rPr>
        <w:t>第四条  凡属违反纪律的行为，情节严重的，按照《国家公务员管理暂行条例》及有关党纪政纪处分规定进行惩处。涉嫌犯罪的，移交司法机关追究法律责任。</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第五条  凡尚不属第四条之规定，但有下列情形之一的，视情节轻重，分别给予有关责任人诫勉谈话、书面检查、通报批评、调离岗位、免职(建议免职)、辞退处分。处分的结果纳入机关年度考核，并作为机关行政工作人员提拔任用、年度考核的重要依据之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600" w:lineRule="atLeast"/>
        <w:ind w:left="0" w:right="0" w:firstLine="645"/>
        <w:rPr>
          <w:rFonts w:hint="eastAsia" w:ascii="微软雅黑" w:hAnsi="微软雅黑" w:eastAsia="微软雅黑" w:cs="微软雅黑"/>
          <w:i w:val="0"/>
          <w:caps w:val="0"/>
          <w:color w:val="auto"/>
          <w:spacing w:val="0"/>
          <w:sz w:val="24"/>
          <w:szCs w:val="24"/>
        </w:rPr>
      </w:pPr>
      <w:r>
        <w:rPr>
          <w:rFonts w:hint="eastAsia" w:ascii="仿宋_GB2312" w:hAnsi="微软雅黑" w:eastAsia="仿宋_GB2312" w:cs="仿宋_GB2312"/>
          <w:i w:val="0"/>
          <w:caps w:val="0"/>
          <w:color w:val="auto"/>
          <w:spacing w:val="0"/>
          <w:sz w:val="31"/>
          <w:szCs w:val="31"/>
          <w:bdr w:val="none" w:color="auto" w:sz="0" w:space="0"/>
          <w:shd w:val="clear" w:fill="FFFFFF"/>
        </w:rPr>
        <w:t>1、对重大或者紧急事项，不及时协调解决以及对群众反映的重大问题或热点问题不予理睬或忽视大意，造成社会不良影响的；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2、不能正确履行岗位职责，在贯彻执行法律法规政策时出现较大偏差，并给服务对象造成损失的；违规违章办理有关审批、审核事项的；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3、对服务对象未实行一次性告知有关事项或故意不告知，导致当事人多次往返；服务态度差，作风粗暴或故意刁难服务对象；办事拖、压、卡，或无正当理由超过办事期限未办结的；承办过程中，对审报、申办资料没有妥善保管登记，造成资料遗失、丢失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4、违反规定，接受办事人吃请和礼品礼金的；或利用职权，吃、拿、卡、要或索贿受贿；或滥用职权，徇私舞弊，弄虚作假的；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5、违反信访有关规定，对来信来访或电话投诉不按规定进行登记、转交、办理、办结的，并造成不良影响或损失的；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6、对局办公会决定的事项执行不力，工作质量差，延误工作，造成失误的；工作责任心差，办事不认真，两次以上出现差错事故，造成不良影响的；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7、牵头部门不负责任或者不配合牵头部门工作造成延误工作的；应当请示报告领导而不及时请示报告，造成不良后果的；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8、工作互相扯皮、 推诿 、闹不团结，在工作中相互拆台，造成不良影响的；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9、局领导对签发的事项未予认真审查，造成失误或产生损失的；对分管的部门管理疏忽，产生失误的，应当承担相应的领导责任;</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10、违反工作纪律，损害社会形象，对我县软环境建设产生重大不良影响的。</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第六条  成立局责任追究工作领导小组，局主要负责人担任组长，局各位领导为成员。</w:t>
      </w:r>
      <w:r>
        <w:rPr>
          <w:rFonts w:hint="eastAsia" w:ascii="仿宋_GB2312" w:eastAsia="仿宋_GB2312"/>
          <w:color w:val="auto"/>
          <w:kern w:val="0"/>
          <w:sz w:val="32"/>
          <w:szCs w:val="32"/>
          <w:lang w:val="en-US" w:eastAsia="zh-CN"/>
        </w:rPr>
        <w:t>县派驻纪检监察组组长</w:t>
      </w:r>
      <w:r>
        <w:rPr>
          <w:rFonts w:hint="eastAsia" w:ascii="仿宋_GB2312" w:hAnsi="微软雅黑" w:eastAsia="仿宋_GB2312" w:cs="仿宋_GB2312"/>
          <w:i w:val="0"/>
          <w:caps w:val="0"/>
          <w:color w:val="auto"/>
          <w:spacing w:val="0"/>
          <w:sz w:val="31"/>
          <w:szCs w:val="31"/>
          <w:bdr w:val="none" w:color="auto" w:sz="0" w:space="0"/>
          <w:shd w:val="clear" w:fill="FFFFFF"/>
        </w:rPr>
        <w:t>具体负责，局</w:t>
      </w:r>
      <w:r>
        <w:rPr>
          <w:rFonts w:hint="eastAsia" w:ascii="仿宋_GB2312" w:hAnsi="微软雅黑" w:eastAsia="仿宋_GB2312" w:cs="仿宋_GB2312"/>
          <w:i w:val="0"/>
          <w:caps w:val="0"/>
          <w:color w:val="auto"/>
          <w:spacing w:val="0"/>
          <w:sz w:val="31"/>
          <w:szCs w:val="31"/>
          <w:bdr w:val="none" w:color="auto" w:sz="0" w:space="0"/>
          <w:shd w:val="clear" w:fill="FFFFFF"/>
          <w:lang w:val="en-US" w:eastAsia="zh-CN"/>
        </w:rPr>
        <w:t>办公室</w:t>
      </w:r>
      <w:r>
        <w:rPr>
          <w:rFonts w:hint="eastAsia" w:ascii="仿宋_GB2312" w:hAnsi="微软雅黑" w:eastAsia="仿宋_GB2312" w:cs="仿宋_GB2312"/>
          <w:i w:val="0"/>
          <w:caps w:val="0"/>
          <w:color w:val="auto"/>
          <w:spacing w:val="0"/>
          <w:sz w:val="31"/>
          <w:szCs w:val="31"/>
          <w:bdr w:val="none" w:color="auto" w:sz="0" w:space="0"/>
          <w:shd w:val="clear" w:fill="FFFFFF"/>
        </w:rPr>
        <w:t>具体承办。</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第七条  在对责任人作出处理决定前，应当听取责任人的意见，保障其陈述和申辩的权利。</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第八条  追究责任人的责任，应当自调查之日起一个月内作出处理决定；有特殊情况的，经局责任追究工作领导小组组长批准，可延长一个月。工作责任追究结果由局责任追究工作领导小组研究决定。</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第九条  本制度由局</w:t>
      </w:r>
      <w:r>
        <w:rPr>
          <w:rFonts w:hint="eastAsia" w:ascii="仿宋_GB2312" w:hAnsi="微软雅黑" w:eastAsia="仿宋_GB2312" w:cs="仿宋_GB2312"/>
          <w:i w:val="0"/>
          <w:caps w:val="0"/>
          <w:color w:val="auto"/>
          <w:spacing w:val="0"/>
          <w:sz w:val="31"/>
          <w:szCs w:val="31"/>
          <w:bdr w:val="none" w:color="auto" w:sz="0" w:space="0"/>
          <w:shd w:val="clear" w:fill="FFFFFF"/>
          <w:lang w:val="en-US" w:eastAsia="zh-CN"/>
        </w:rPr>
        <w:t>办公室</w:t>
      </w:r>
      <w:r>
        <w:rPr>
          <w:rFonts w:hint="eastAsia" w:ascii="仿宋_GB2312" w:hAnsi="微软雅黑" w:eastAsia="仿宋_GB2312" w:cs="仿宋_GB2312"/>
          <w:i w:val="0"/>
          <w:caps w:val="0"/>
          <w:color w:val="auto"/>
          <w:spacing w:val="0"/>
          <w:sz w:val="31"/>
          <w:szCs w:val="31"/>
          <w:bdr w:val="none" w:color="auto" w:sz="0" w:space="0"/>
          <w:shd w:val="clear" w:fill="FFFFFF"/>
        </w:rPr>
        <w:t>负责解释。</w:t>
      </w:r>
      <w:r>
        <w:rPr>
          <w:rFonts w:hint="eastAsia" w:ascii="仿宋_GB2312" w:hAnsi="微软雅黑" w:eastAsia="仿宋_GB2312" w:cs="仿宋_GB2312"/>
          <w:i w:val="0"/>
          <w:caps w:val="0"/>
          <w:color w:val="auto"/>
          <w:spacing w:val="0"/>
          <w:sz w:val="31"/>
          <w:szCs w:val="31"/>
          <w:bdr w:val="none" w:color="auto" w:sz="0" w:space="0"/>
          <w:shd w:val="clear" w:fill="FFFFFF"/>
        </w:rPr>
        <w:br w:type="textWrapping"/>
      </w:r>
      <w:r>
        <w:rPr>
          <w:rFonts w:hint="eastAsia" w:ascii="仿宋_GB2312" w:hAnsi="微软雅黑" w:eastAsia="仿宋_GB2312" w:cs="仿宋_GB2312"/>
          <w:i w:val="0"/>
          <w:caps w:val="0"/>
          <w:color w:val="auto"/>
          <w:spacing w:val="0"/>
          <w:sz w:val="31"/>
          <w:szCs w:val="31"/>
          <w:bdr w:val="none" w:color="auto" w:sz="0" w:space="0"/>
          <w:shd w:val="clear" w:fill="FFFFFF"/>
        </w:rPr>
        <w:t>    第十条  本制度自公布之日起施行。</w:t>
      </w:r>
      <w:bookmarkStart w:id="0" w:name="_GoBack"/>
      <w:bookmarkEnd w:id="0"/>
    </w:p>
    <w:p>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D4C4D"/>
    <w:rsid w:val="18CF52AB"/>
    <w:rsid w:val="5EA56D21"/>
    <w:rsid w:val="71AA69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王晓波</cp:lastModifiedBy>
  <dcterms:modified xsi:type="dcterms:W3CDTF">2023-06-19T01:44:37Z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