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50812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5081270"/>
                          <a:chOff x="13622" y="283"/>
                          <a:chExt cx="12005" cy="800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3264"/>
                          </a:xfrm>
                          <a:prstGeom prst="rect">
                            <a:avLst/>
                          </a:prstGeom>
                          <a:noFill/>
                        </wps:spPr>
                        <wps:txbx>
                          <w:txbxContent>
                            <w:p>
                              <w:pPr>
                                <w:jc w:val="left"/>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赵县人民法院</w:t>
                              </w:r>
                            </w:p>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w:t>
                              </w:r>
                            </w:p>
                          </w:txbxContent>
                        </wps:txbx>
                        <wps:bodyPr wrap="square" rtlCol="0">
                          <a:spAutoFit/>
                        </wps:bodyPr>
                      </wps:wsp>
                    </wpg:wgp>
                  </a:graphicData>
                </a:graphic>
              </wp:anchor>
            </w:drawing>
          </mc:Choice>
          <mc:Fallback>
            <w:pict>
              <v:group id="_x0000_s1026" o:spid="_x0000_s1026" o:spt="203" style="position:absolute;left:0pt;margin-left:-2.5pt;margin-top:0pt;height:400.1pt;width:600.25pt;z-index:-251649024;mso-width-relative:page;mso-height-relative:page;" coordorigin="13622,283" coordsize="12005,8002" o:gfxdata="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VtfbQNgA&#10;AAAIAQAADwAAAAAAAAABACAAAAAiAAAAZHJzL2Rvd25yZXYueG1sUEsBAhQAFAAAAAgAh07iQPtO&#10;TKDKAgAAfQYAAA4AAAAAAAAAAQAgAAAAJwEAAGRycy9lMm9Eb2MueG1sUEsFBgAAAAAGAAYAWQEA&#10;AGMG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326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赵县人民法院</w:t>
                        </w:r>
                      </w:p>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赵县人民法院</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5"/>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（一）审判法律规定由我院管辖的刑事、民事和行政等第一审案件。</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（二）依法审理由上级人民法院指令再审的案件。受理不服本判决、裁定的各类申诉和再审，对其中确有错误并已发生法律效力的判决、裁定依法再审。</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（三）依法行使司法执行权和司法决定权。</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（四）对法律、法规、规章等草案提出意见，针对案件审理中出现的问题提出司法建议。</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（五）负责本院干部队伍思想教育、表彰奖励和教育培训工作；按照干部管理权限管理法官、执行员、书记员、司法警察及司法行政人员。</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（六）领导本院的监察工作。</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（七）管理本院的有关经费和物资装备。</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（八）在业务工作中宣传法制，教育公民忠于社会主义祖国，自觉遵守宪法、法律和社会公德。</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（九）承办其他应由本院负责的工作。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 w:hAnsi="仿宋" w:eastAsia="仿宋" w:cs="仿宋"/>
          <w:kern w:val="0"/>
          <w:sz w:val="32"/>
          <w:szCs w:val="32"/>
        </w:rPr>
        <w:t>从决算编报单位构成看，纳入2019 年度本部门决算汇编范围的独立核算单位（以下简称“单位”）共</w:t>
      </w: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个，具体情况如下</w:t>
      </w:r>
      <w:r>
        <w:rPr>
          <w:rFonts w:hint="eastAsia" w:ascii="仿宋_GB2312" w:hAnsi="Calibri" w:eastAsia="仿宋_GB2312" w:cs="ArialUnicodeMS"/>
          <w:kern w:val="0"/>
          <w:sz w:val="32"/>
          <w:szCs w:val="32"/>
        </w:rPr>
        <w:t>：</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赵县人民法院</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bl>
    <w:p>
      <w:pPr>
        <w:widowControl/>
        <w:spacing w:after="160" w:line="580" w:lineRule="exact"/>
        <w:ind w:firstLine="1440" w:firstLineChars="200"/>
        <w:rPr>
          <w:sz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firstLine="1440" w:firstLineChars="200"/>
        <w:rPr>
          <w:sz w:val="72"/>
        </w:rPr>
      </w:pPr>
    </w:p>
    <w:p>
      <w:pPr>
        <w:widowControl/>
        <w:spacing w:after="160" w:line="580" w:lineRule="exact"/>
        <w:ind w:firstLine="1440" w:firstLineChars="200"/>
        <w:rPr>
          <w:sz w:val="72"/>
        </w:rPr>
      </w:pPr>
    </w:p>
    <w:p>
      <w:pPr>
        <w:widowControl/>
        <w:spacing w:after="160" w:line="580" w:lineRule="exact"/>
        <w:ind w:firstLine="1440" w:firstLineChars="200"/>
        <w:rPr>
          <w:sz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360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5"/>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本部门2019年度收支总计（含结转和结余）</w:t>
      </w:r>
      <w:r>
        <w:rPr>
          <w:rFonts w:hint="eastAsia" w:ascii="仿宋" w:hAnsi="仿宋" w:eastAsia="仿宋" w:cs="仿宋"/>
          <w:sz w:val="32"/>
          <w:szCs w:val="32"/>
          <w:lang w:val="en-US" w:eastAsia="zh-CN"/>
        </w:rPr>
        <w:t>2027.16</w:t>
      </w:r>
      <w:r>
        <w:rPr>
          <w:rFonts w:hint="eastAsia" w:ascii="仿宋" w:hAnsi="仿宋" w:eastAsia="仿宋" w:cs="仿宋"/>
          <w:sz w:val="32"/>
          <w:szCs w:val="32"/>
        </w:rPr>
        <w:t>万元。与2018年度决算相比，收支各增加</w:t>
      </w:r>
      <w:r>
        <w:rPr>
          <w:rFonts w:hint="eastAsia" w:ascii="仿宋" w:hAnsi="仿宋" w:eastAsia="仿宋" w:cs="仿宋"/>
          <w:sz w:val="32"/>
          <w:szCs w:val="32"/>
          <w:lang w:val="en-US" w:eastAsia="zh-CN"/>
        </w:rPr>
        <w:t>295.74</w:t>
      </w:r>
      <w:r>
        <w:rPr>
          <w:rFonts w:hint="eastAsia" w:ascii="仿宋" w:hAnsi="仿宋" w:eastAsia="仿宋" w:cs="仿宋"/>
          <w:sz w:val="32"/>
          <w:szCs w:val="32"/>
        </w:rPr>
        <w:t>万元，增长</w:t>
      </w:r>
      <w:r>
        <w:rPr>
          <w:rFonts w:hint="eastAsia" w:ascii="仿宋" w:hAnsi="仿宋" w:eastAsia="仿宋" w:cs="仿宋"/>
          <w:sz w:val="32"/>
          <w:szCs w:val="32"/>
          <w:lang w:val="en-US" w:eastAsia="zh-CN"/>
        </w:rPr>
        <w:t>17</w:t>
      </w:r>
      <w:r>
        <w:rPr>
          <w:rFonts w:hint="eastAsia" w:ascii="仿宋" w:hAnsi="仿宋" w:eastAsia="仿宋" w:cs="仿宋"/>
          <w:sz w:val="32"/>
          <w:szCs w:val="32"/>
        </w:rPr>
        <w:t>%，主要原因是</w:t>
      </w:r>
      <w:r>
        <w:rPr>
          <w:rFonts w:hint="eastAsia" w:ascii="仿宋" w:hAnsi="仿宋" w:eastAsia="仿宋" w:cs="仿宋"/>
          <w:sz w:val="32"/>
          <w:szCs w:val="32"/>
          <w:lang w:eastAsia="zh-CN"/>
        </w:rPr>
        <w:t>我院</w:t>
      </w:r>
      <w:r>
        <w:rPr>
          <w:rFonts w:hint="eastAsia" w:ascii="仿宋" w:hAnsi="仿宋" w:eastAsia="仿宋" w:cs="仿宋"/>
          <w:sz w:val="32"/>
          <w:szCs w:val="32"/>
          <w:lang w:val="en-US" w:eastAsia="zh-CN"/>
        </w:rPr>
        <w:t>2019年新招录公务员18名，人员经费增加，公用经费也稍有上升</w:t>
      </w:r>
      <w:r>
        <w:rPr>
          <w:rFonts w:hint="eastAsia" w:ascii="仿宋" w:hAnsi="仿宋" w:eastAsia="仿宋" w:cs="仿宋"/>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w:t>
      </w:r>
      <w:r>
        <w:rPr>
          <w:rFonts w:hint="eastAsia" w:ascii="仿宋_GB2312" w:hAnsi="Times New Roman" w:eastAsia="仿宋_GB2312" w:cs="DengXian-Regular"/>
          <w:sz w:val="32"/>
          <w:szCs w:val="32"/>
          <w:highlight w:val="none"/>
        </w:rPr>
        <w:t>计</w:t>
      </w:r>
      <w:r>
        <w:rPr>
          <w:rFonts w:hint="eastAsia" w:ascii="仿宋_GB2312" w:hAnsi="Times New Roman" w:eastAsia="仿宋_GB2312" w:cs="DengXian-Regular"/>
          <w:sz w:val="32"/>
          <w:szCs w:val="32"/>
          <w:highlight w:val="none"/>
          <w:lang w:val="en-US" w:eastAsia="zh-CN"/>
        </w:rPr>
        <w:t>1629.14</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rPr>
        <w:t>，其中：财政拨款收入</w:t>
      </w:r>
      <w:r>
        <w:rPr>
          <w:rFonts w:hint="eastAsia" w:ascii="仿宋_GB2312" w:hAnsi="Times New Roman" w:eastAsia="仿宋_GB2312" w:cs="DengXian-Regular"/>
          <w:sz w:val="32"/>
          <w:szCs w:val="32"/>
          <w:highlight w:val="none"/>
          <w:lang w:val="en-US" w:eastAsia="zh-CN"/>
        </w:rPr>
        <w:t>1629.14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firstLine="1260" w:firstLineChars="600"/>
        <w:rPr>
          <w:rFonts w:hint="eastAsia" w:ascii="仿宋_GB2312" w:hAnsi="Times New Roman" w:eastAsia="仿宋_GB2312" w:cs="DengXian-Regular"/>
          <w:sz w:val="32"/>
          <w:szCs w:val="32"/>
          <w:lang w:eastAsia="zh-CN"/>
        </w:rPr>
      </w:pPr>
      <w:r>
        <w:drawing>
          <wp:anchor distT="0" distB="0" distL="114300" distR="114300" simplePos="0" relativeHeight="251677696" behindDoc="0" locked="0" layoutInCell="1" allowOverlap="1">
            <wp:simplePos x="0" y="0"/>
            <wp:positionH relativeFrom="column">
              <wp:posOffset>607060</wp:posOffset>
            </wp:positionH>
            <wp:positionV relativeFrom="paragraph">
              <wp:posOffset>22860</wp:posOffset>
            </wp:positionV>
            <wp:extent cx="5029835" cy="2898775"/>
            <wp:effectExtent l="4445" t="4445" r="13970" b="11430"/>
            <wp:wrapSquare wrapText="bothSides"/>
            <wp:docPr id="32"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1552" behindDoc="0" locked="0" layoutInCell="1" allowOverlap="1">
                <wp:simplePos x="0" y="0"/>
                <wp:positionH relativeFrom="column">
                  <wp:posOffset>1526540</wp:posOffset>
                </wp:positionH>
                <wp:positionV relativeFrom="paragraph">
                  <wp:posOffset>267970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486660" y="67995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20.2pt;margin-top:21.1pt;height:38.6pt;width:217.35pt;z-index:251671552;mso-width-relative:page;mso-height-relative:page;" fillcolor="#FFFFFF" filled="t" stroked="f" coordsize="21600,21600" o:gfxdata="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AipOnzVAAAACgEAAA8AAAAAAAAAAQAgAAAAIgAAAGRycy9kb3ducmV2LnhtbFBLAQIUABQA&#10;AAAIAIdO4kCuafFhZQIAAKwEAAAOAAAAAAAAAAEAIAAAACQBAABkcnMvZTJvRG9jLnhtbFBLBQYA&#10;AAAABgAGAFkBAAD7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本部门2019年度本年支出合计</w:t>
      </w:r>
      <w:r>
        <w:rPr>
          <w:rFonts w:hint="eastAsia" w:ascii="仿宋" w:hAnsi="仿宋" w:eastAsia="仿宋" w:cs="仿宋"/>
          <w:sz w:val="32"/>
          <w:szCs w:val="32"/>
          <w:lang w:val="en-US" w:eastAsia="zh-CN"/>
        </w:rPr>
        <w:t>1679.87</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1504.46</w:t>
      </w:r>
      <w:r>
        <w:rPr>
          <w:rFonts w:hint="eastAsia" w:ascii="仿宋" w:hAnsi="仿宋" w:eastAsia="仿宋" w:cs="仿宋"/>
          <w:sz w:val="32"/>
          <w:szCs w:val="32"/>
        </w:rPr>
        <w:t>万元，占</w:t>
      </w:r>
      <w:r>
        <w:rPr>
          <w:rFonts w:hint="eastAsia" w:ascii="仿宋" w:hAnsi="仿宋" w:eastAsia="仿宋" w:cs="仿宋"/>
          <w:sz w:val="32"/>
          <w:szCs w:val="32"/>
          <w:lang w:val="en-US" w:eastAsia="zh-CN"/>
        </w:rPr>
        <w:t>89.56</w:t>
      </w:r>
      <w:r>
        <w:rPr>
          <w:rFonts w:hint="eastAsia" w:ascii="仿宋" w:hAnsi="仿宋" w:eastAsia="仿宋" w:cs="仿宋"/>
          <w:sz w:val="32"/>
          <w:szCs w:val="32"/>
        </w:rPr>
        <w:t>%；项目支出</w:t>
      </w:r>
      <w:r>
        <w:rPr>
          <w:rFonts w:hint="eastAsia" w:ascii="仿宋" w:hAnsi="仿宋" w:eastAsia="仿宋" w:cs="仿宋"/>
          <w:sz w:val="32"/>
          <w:szCs w:val="32"/>
          <w:lang w:val="en-US" w:eastAsia="zh-CN"/>
        </w:rPr>
        <w:t>175.42</w:t>
      </w:r>
      <w:r>
        <w:rPr>
          <w:rFonts w:hint="eastAsia" w:ascii="仿宋" w:hAnsi="仿宋" w:eastAsia="仿宋" w:cs="仿宋"/>
          <w:sz w:val="32"/>
          <w:szCs w:val="32"/>
        </w:rPr>
        <w:t>万元，占</w:t>
      </w:r>
      <w:r>
        <w:rPr>
          <w:rFonts w:hint="eastAsia" w:ascii="仿宋" w:hAnsi="仿宋" w:eastAsia="仿宋" w:cs="仿宋"/>
          <w:sz w:val="32"/>
          <w:szCs w:val="32"/>
          <w:lang w:val="en-US" w:eastAsia="zh-CN"/>
        </w:rPr>
        <w:t>10.44</w:t>
      </w:r>
      <w:r>
        <w:rPr>
          <w:rFonts w:hint="eastAsia" w:ascii="仿宋" w:hAnsi="仿宋" w:eastAsia="仿宋" w:cs="仿宋"/>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8720" behindDoc="1" locked="0" layoutInCell="1" allowOverlap="1">
            <wp:simplePos x="0" y="0"/>
            <wp:positionH relativeFrom="column">
              <wp:posOffset>403225</wp:posOffset>
            </wp:positionH>
            <wp:positionV relativeFrom="paragraph">
              <wp:posOffset>29210</wp:posOffset>
            </wp:positionV>
            <wp:extent cx="4959985" cy="3141980"/>
            <wp:effectExtent l="4445" t="4445" r="7620" b="15875"/>
            <wp:wrapTight wrapText="bothSides">
              <wp:wrapPolygon>
                <wp:start x="-19" y="-31"/>
                <wp:lineTo x="-19" y="21447"/>
                <wp:lineTo x="21550" y="21447"/>
                <wp:lineTo x="21550" y="-31"/>
                <wp:lineTo x="-19" y="-31"/>
              </wp:wrapPolygon>
            </wp:wrapTight>
            <wp:docPr id="34"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1042035</wp:posOffset>
                </wp:positionH>
                <wp:positionV relativeFrom="paragraph">
                  <wp:posOffset>215900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30289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2.05pt;margin-top:17pt;height:38.05pt;width:260.95pt;z-index:-251645952;mso-width-relative:page;mso-height-relative:page;" fillcolor="#FFFFFF" filled="t" stroked="f" coordsize="21600,21600" o:gfxdata="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L08QBDT&#10;AAAACgEAAA8AAAAAAAAAAQAgAAAAIgAAAGRycy9kb3ducmV2LnhtbFBLAQIUABQAAAAIAIdO4kA4&#10;EMJ4XgIAAKsEAAAOAAAAAAAAAAEAIAAAACIBAABkcnMvZTJvRG9jLnhtbFBLBQYAAAAABgAGAFkB&#10;AADy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2027.16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295.74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人员和业务经费上涨</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1679.87</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346.48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，增长</w:t>
      </w:r>
      <w:r>
        <w:rPr>
          <w:rFonts w:hint="eastAsia" w:ascii="仿宋_GB2312" w:hAnsi="Times New Roman" w:eastAsia="仿宋_GB2312" w:cs="DengXian-Regular"/>
          <w:sz w:val="32"/>
          <w:szCs w:val="32"/>
          <w:highlight w:val="none"/>
          <w:lang w:val="en-US" w:eastAsia="zh-CN"/>
        </w:rPr>
        <w:t>25.9</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2018年我院未进行政府采购招标，于2019年招标完成</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79744" behindDoc="1" locked="0" layoutInCell="1" allowOverlap="1">
            <wp:simplePos x="0" y="0"/>
            <wp:positionH relativeFrom="column">
              <wp:posOffset>271145</wp:posOffset>
            </wp:positionH>
            <wp:positionV relativeFrom="paragraph">
              <wp:posOffset>241300</wp:posOffset>
            </wp:positionV>
            <wp:extent cx="4572000" cy="2743200"/>
            <wp:effectExtent l="4445" t="4445" r="14605" b="14605"/>
            <wp:wrapTight wrapText="bothSides">
              <wp:wrapPolygon>
                <wp:start x="-21" y="-35"/>
                <wp:lineTo x="-21" y="21565"/>
                <wp:lineTo x="21579" y="21565"/>
                <wp:lineTo x="21579" y="-35"/>
                <wp:lineTo x="-21" y="-35"/>
              </wp:wrapPolygon>
            </wp:wrapTight>
            <wp:docPr id="35"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adjustRightInd w:val="0"/>
        <w:snapToGrid w:val="0"/>
        <w:spacing w:after="160" w:line="560" w:lineRule="exact"/>
        <w:jc w:val="center"/>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财政拨款收支情况</w:t>
      </w:r>
    </w:p>
    <w:p>
      <w:pPr>
        <w:snapToGrid w:val="0"/>
        <w:spacing w:line="580" w:lineRule="exact"/>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2027.16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115.72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275.51</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有部分上年结余资金在</w:t>
      </w:r>
      <w:r>
        <w:rPr>
          <w:rFonts w:hint="eastAsia" w:ascii="仿宋_GB2312" w:hAnsi="Times New Roman" w:eastAsia="仿宋_GB2312" w:cs="DengXian-Regular"/>
          <w:sz w:val="32"/>
          <w:szCs w:val="32"/>
          <w:lang w:val="en-US" w:eastAsia="zh-CN"/>
        </w:rPr>
        <w:t>2019年支出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1679.87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95.9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71.78</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有一部分支出结余下年</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82816" behindDoc="1" locked="0" layoutInCell="1" allowOverlap="1">
            <wp:simplePos x="0" y="0"/>
            <wp:positionH relativeFrom="column">
              <wp:posOffset>319405</wp:posOffset>
            </wp:positionH>
            <wp:positionV relativeFrom="paragraph">
              <wp:posOffset>119380</wp:posOffset>
            </wp:positionV>
            <wp:extent cx="4773930" cy="2953385"/>
            <wp:effectExtent l="4445" t="4445" r="22225" b="13970"/>
            <wp:wrapTight wrapText="bothSides">
              <wp:wrapPolygon>
                <wp:start x="-20" y="-33"/>
                <wp:lineTo x="-20" y="21563"/>
                <wp:lineTo x="21528" y="21563"/>
                <wp:lineTo x="21528" y="-33"/>
                <wp:lineTo x="-20" y="-33"/>
              </wp:wrapPolygon>
            </wp:wrapTight>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60" w:lineRule="exact"/>
        <w:jc w:val="center"/>
        <w:rPr>
          <w:rFonts w:hint="eastAsia" w:ascii="仿宋_GB2312" w:eastAsia="仿宋_GB2312" w:cs="DengXian-Regular"/>
          <w:sz w:val="24"/>
        </w:rPr>
      </w:pPr>
    </w:p>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1679.87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公共安全类支出</w:t>
      </w:r>
      <w:r>
        <w:rPr>
          <w:rFonts w:hint="eastAsia" w:ascii="仿宋_GB2312" w:hAnsi="Times New Roman" w:eastAsia="仿宋_GB2312" w:cs="DengXian-Regular"/>
          <w:sz w:val="32"/>
          <w:szCs w:val="32"/>
          <w:lang w:val="en-US" w:eastAsia="zh-CN"/>
        </w:rPr>
        <w:t>1532.51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91.23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社会保障和就业支出</w:t>
      </w:r>
      <w:r>
        <w:rPr>
          <w:rFonts w:hint="eastAsia" w:ascii="仿宋_GB2312" w:hAnsi="Times New Roman" w:eastAsia="仿宋_GB2312" w:cs="DengXian-Regular"/>
          <w:sz w:val="32"/>
          <w:szCs w:val="32"/>
          <w:lang w:val="en-US" w:eastAsia="zh-CN"/>
        </w:rPr>
        <w:t>67.02万元，占3.99%；卫生健康支出34.63万元，占2.06%；住房保障支出45.71万元，占2.72%。</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80768" behindDoc="0" locked="0" layoutInCell="1" allowOverlap="1">
            <wp:simplePos x="0" y="0"/>
            <wp:positionH relativeFrom="column">
              <wp:posOffset>522605</wp:posOffset>
            </wp:positionH>
            <wp:positionV relativeFrom="paragraph">
              <wp:posOffset>253365</wp:posOffset>
            </wp:positionV>
            <wp:extent cx="4947285" cy="3587750"/>
            <wp:effectExtent l="4445" t="4445" r="20320" b="8255"/>
            <wp:wrapSquare wrapText="bothSides"/>
            <wp:docPr id="36"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2576"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40970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43904;mso-width-relative:page;mso-height-relative:page;" fillcolor="#FFFFFF" filled="t" stroked="f" coordsize="21600,21600"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AB&#10;bU3i1AAAAAkBAAAPAAAAAAAAAAEAIAAAACIAAABkcnMvZG93bnJldi54bWxQSwECFAAUAAAACACH&#10;TuJAGewMBWECAACsBAAADgAAAAAAAAABACAAAAAjAQAAZHJzL2Uyb0RvYy54bWxQSwUGAAAAAAYA&#10;BgBZAQAA9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1679.87</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747.26</w:t>
      </w:r>
      <w:r>
        <w:rPr>
          <w:rFonts w:hint="eastAsia" w:ascii="仿宋_GB2312" w:hAnsi="Times New Roman" w:eastAsia="仿宋_GB2312" w:cs="DengXian-Regular"/>
          <w:sz w:val="32"/>
          <w:szCs w:val="32"/>
        </w:rPr>
        <w:t xml:space="preserve">万元，主要包括基本工资、津贴补贴、绩效工资、机关事业单位基本养老保险缴费、职工基本医疗保险缴费、住房公积金、其他社会保障缴费、退休费、抚恤金；公用经费 </w:t>
      </w:r>
      <w:r>
        <w:rPr>
          <w:rFonts w:hint="eastAsia" w:ascii="仿宋_GB2312" w:hAnsi="Times New Roman" w:eastAsia="仿宋_GB2312" w:cs="DengXian-Regular"/>
          <w:sz w:val="32"/>
          <w:szCs w:val="32"/>
          <w:lang w:val="en-US" w:eastAsia="zh-CN"/>
        </w:rPr>
        <w:t>932.61</w:t>
      </w:r>
      <w:r>
        <w:rPr>
          <w:rFonts w:hint="eastAsia" w:ascii="仿宋_GB2312" w:hAnsi="Times New Roman" w:eastAsia="仿宋_GB2312" w:cs="DengXian-Regular"/>
          <w:sz w:val="32"/>
          <w:szCs w:val="32"/>
        </w:rPr>
        <w:t>万元，主要包括办公费、印刷费、水费、电费、邮电费、差旅费、维修（护）费、租赁费、培训费、劳务费、福利费、公务用车运行维护费、其他交通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31.78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69.84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13.72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30.16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10.87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25.49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hint="default" w:ascii="仿宋_GB2312" w:eastAsia="仿宋_GB2312" w:cs="DengXian-Regular"/>
          <w:sz w:val="32"/>
          <w:szCs w:val="32"/>
          <w:highlight w:val="yellow"/>
          <w:lang w:val="en-US"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lang w:val="en-US" w:eastAsia="zh-CN"/>
        </w:rPr>
        <w:t>本部门2019年无因公出国（境）费用，与2018年度决算支出持平，与本年预算持平。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31.78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13.72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30.16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10.87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25.49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本部门</w:t>
      </w:r>
      <w:r>
        <w:rPr>
          <w:rFonts w:hint="eastAsia" w:ascii="仿宋_GB2312" w:hAnsi="Times New Roman" w:eastAsia="仿宋_GB2312" w:cs="DengXian-Regular"/>
          <w:sz w:val="32"/>
          <w:szCs w:val="32"/>
          <w:lang w:val="en-US" w:eastAsia="zh-CN"/>
        </w:rPr>
        <w:t>2019年</w:t>
      </w:r>
      <w:r>
        <w:rPr>
          <w:rFonts w:hint="eastAsia" w:ascii="仿宋_GB2312" w:hAnsi="Times New Roman" w:eastAsia="仿宋_GB2312" w:cs="DengXian-Regular"/>
          <w:sz w:val="32"/>
          <w:szCs w:val="32"/>
          <w:lang w:eastAsia="zh-CN"/>
        </w:rPr>
        <w:t>未发生“公务用车购置”经费支出，</w:t>
      </w:r>
      <w:r>
        <w:rPr>
          <w:rFonts w:hint="eastAsia" w:ascii="仿宋_GB2312" w:eastAsia="仿宋_GB2312" w:cs="DengXian-Regular"/>
          <w:sz w:val="32"/>
          <w:szCs w:val="32"/>
          <w:lang w:val="en-US" w:eastAsia="zh-CN"/>
        </w:rPr>
        <w:t>与2018年度决算支出持平，</w:t>
      </w:r>
      <w:r>
        <w:rPr>
          <w:rFonts w:hint="eastAsia" w:ascii="仿宋_GB2312" w:eastAsia="仿宋_GB2312" w:cs="DengXian-Regular"/>
          <w:sz w:val="32"/>
          <w:szCs w:val="32"/>
          <w:highlight w:val="none"/>
          <w:lang w:val="en-US" w:eastAsia="zh-CN"/>
        </w:rPr>
        <w:t>与本年预算持平。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辆。公车运行维护费支出较预</w:t>
      </w:r>
      <w:r>
        <w:rPr>
          <w:rFonts w:hint="eastAsia" w:ascii="仿宋_GB2312" w:hAnsi="Times New Roman" w:eastAsia="仿宋_GB2312" w:cs="DengXian-Regular"/>
          <w:sz w:val="32"/>
          <w:szCs w:val="32"/>
          <w:lang w:eastAsia="zh-CN"/>
        </w:rPr>
        <w:t>算</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13.72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30.16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10.87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，降低</w:t>
      </w:r>
      <w:r>
        <w:rPr>
          <w:rFonts w:hint="eastAsia" w:ascii="仿宋_GB2312" w:hAnsi="Times New Roman" w:eastAsia="仿宋_GB2312" w:cs="DengXian-Regular"/>
          <w:sz w:val="32"/>
          <w:szCs w:val="32"/>
          <w:highlight w:val="none"/>
          <w:lang w:val="en-US" w:eastAsia="zh-CN"/>
        </w:rPr>
        <w:t>25.4</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3" w:firstLineChars="200"/>
        <w:rPr>
          <w:rFonts w:hint="default" w:ascii="仿宋_GB2312" w:hAnsi="Times New Roman" w:eastAsia="仿宋_GB2312" w:cs="DengXian-Regular"/>
          <w:sz w:val="32"/>
          <w:szCs w:val="32"/>
          <w:highlight w:val="yellow"/>
          <w:lang w:val="en-US" w:eastAsia="zh-CN"/>
        </w:rPr>
      </w:pPr>
      <w:r>
        <w:rPr>
          <w:rFonts w:hint="eastAsia" w:ascii="楷体_GB2312" w:hAnsi="Times New Roman" w:eastAsia="楷体_GB2312" w:cs="DengXian-Bold"/>
          <w:b/>
          <w:bCs/>
          <w:sz w:val="32"/>
          <w:szCs w:val="32"/>
          <w:lang w:eastAsia="zh-CN"/>
        </w:rPr>
        <w:t>（三）</w:t>
      </w:r>
      <w:r>
        <w:rPr>
          <w:rFonts w:hint="eastAsia" w:ascii="楷体_GB2312" w:hAnsi="Times New Roman" w:eastAsia="楷体_GB2312" w:cs="DengXian-Bold"/>
          <w:b/>
          <w:bCs/>
          <w:sz w:val="32"/>
          <w:szCs w:val="32"/>
        </w:rPr>
        <w:t>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未发生“公务接待费用”支出，</w:t>
      </w:r>
      <w:r>
        <w:rPr>
          <w:rFonts w:hint="eastAsia" w:ascii="仿宋_GB2312" w:eastAsia="仿宋_GB2312" w:cs="DengXian-Regular"/>
          <w:sz w:val="32"/>
          <w:szCs w:val="32"/>
          <w:lang w:val="en-US" w:eastAsia="zh-CN"/>
        </w:rPr>
        <w:t>与2018年度决算支出持平，比本年预算数相比下降0.5万元。</w:t>
      </w:r>
    </w:p>
    <w:p>
      <w:pPr>
        <w:numPr>
          <w:ilvl w:val="0"/>
          <w:numId w:val="0"/>
        </w:numPr>
        <w:adjustRightInd w:val="0"/>
        <w:snapToGrid w:val="0"/>
        <w:spacing w:line="580" w:lineRule="exact"/>
        <w:ind w:leftChars="200" w:firstLine="320" w:firstLineChars="1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个，资金</w:t>
      </w:r>
      <w:r>
        <w:rPr>
          <w:rFonts w:hint="eastAsia" w:ascii="仿宋_GB2312" w:hAnsi="仿宋_GB2312" w:eastAsia="仿宋_GB2312" w:cs="仿宋_GB2312"/>
          <w:sz w:val="32"/>
          <w:szCs w:val="32"/>
          <w:lang w:val="en-US" w:eastAsia="zh-CN"/>
        </w:rPr>
        <w:t>175.42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专项办案业务</w:t>
      </w:r>
      <w:r>
        <w:rPr>
          <w:rFonts w:hint="eastAsia" w:ascii="仿宋_GB2312" w:hAnsi="仿宋_GB2312" w:eastAsia="仿宋_GB2312" w:cs="仿宋_GB2312"/>
          <w:sz w:val="32"/>
          <w:szCs w:val="32"/>
        </w:rPr>
        <w:t>项目开展了部门评价，涉及一般公共预算支出</w:t>
      </w:r>
      <w:r>
        <w:rPr>
          <w:rFonts w:hint="eastAsia" w:ascii="仿宋_GB2312" w:hAnsi="仿宋_GB2312" w:eastAsia="仿宋_GB2312" w:cs="仿宋_GB2312"/>
          <w:sz w:val="32"/>
          <w:szCs w:val="32"/>
          <w:lang w:val="en-US" w:eastAsia="zh-CN"/>
        </w:rPr>
        <w:t>175.42</w:t>
      </w:r>
      <w:r>
        <w:rPr>
          <w:rFonts w:hint="eastAsia" w:ascii="仿宋_GB2312" w:hAnsi="仿宋_GB2312" w:eastAsia="仿宋_GB2312" w:cs="仿宋_GB2312"/>
          <w:sz w:val="32"/>
          <w:szCs w:val="32"/>
        </w:rPr>
        <w:t>万元。从评价情况来看，项目自评得分均在90分以上，较好的完成了年度工作目标，综合评价等级为“优秀”。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专项统计业务</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pPr>
        <w:numPr>
          <w:ilvl w:val="0"/>
          <w:numId w:val="0"/>
        </w:numPr>
        <w:adjustRightInd w:val="0"/>
        <w:snapToGrid w:val="0"/>
        <w:spacing w:line="58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专项统计业务</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专项统计业务</w:t>
      </w:r>
      <w:r>
        <w:rPr>
          <w:rFonts w:hint="eastAsia" w:ascii="仿宋_GB2312" w:hAnsi="仿宋_GB2312" w:eastAsia="仿宋_GB2312" w:cs="仿宋_GB2312"/>
          <w:sz w:val="32"/>
          <w:szCs w:val="32"/>
        </w:rPr>
        <w:t>项目绩效自评得分</w:t>
      </w:r>
      <w:r>
        <w:rPr>
          <w:rFonts w:hint="eastAsia" w:ascii="仿宋_GB2312" w:hAnsi="仿宋_GB2312" w:eastAsia="仿宋_GB2312" w:cs="仿宋_GB2312"/>
          <w:sz w:val="32"/>
          <w:szCs w:val="32"/>
          <w:lang w:eastAsia="zh-CN"/>
        </w:rPr>
        <w:t>均</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以上</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422.15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175.42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 w:hAnsi="仿宋" w:eastAsia="仿宋"/>
          <w:sz w:val="32"/>
          <w:szCs w:val="32"/>
        </w:rPr>
        <w:t>有效了解预算编制、预算执行，绩效目标实现等相关情况</w:t>
      </w:r>
      <w:r>
        <w:rPr>
          <w:rFonts w:hint="eastAsia" w:ascii="仿宋" w:hAnsi="仿宋" w:eastAsia="仿宋"/>
          <w:sz w:val="32"/>
          <w:szCs w:val="32"/>
          <w:lang w:eastAsia="zh-CN"/>
        </w:rPr>
        <w:t>；二是</w:t>
      </w:r>
      <w:r>
        <w:rPr>
          <w:rFonts w:hint="eastAsia" w:ascii="仿宋" w:hAnsi="仿宋" w:eastAsia="仿宋"/>
          <w:sz w:val="32"/>
          <w:szCs w:val="32"/>
        </w:rPr>
        <w:t>对以后的年度预算安排和预算收支管理工作具有指导性意义</w:t>
      </w:r>
      <w:r>
        <w:rPr>
          <w:rFonts w:hint="eastAsia" w:ascii="仿宋" w:hAnsi="仿宋" w:eastAsia="仿宋"/>
          <w:sz w:val="32"/>
          <w:szCs w:val="32"/>
          <w:lang w:eastAsia="zh-CN"/>
        </w:rPr>
        <w:t>。</w:t>
      </w:r>
      <w:r>
        <w:rPr>
          <w:rFonts w:hint="eastAsia" w:ascii="仿宋_GB2312" w:hAnsi="仿宋_GB2312" w:eastAsia="仿宋_GB2312" w:cs="仿宋_GB2312"/>
          <w:sz w:val="32"/>
          <w:szCs w:val="32"/>
        </w:rPr>
        <w:t>发现的主要问题及原因：一是</w:t>
      </w:r>
      <w:r>
        <w:rPr>
          <w:rFonts w:hint="eastAsia" w:ascii="仿宋" w:hAnsi="仿宋" w:eastAsia="仿宋"/>
          <w:sz w:val="32"/>
          <w:szCs w:val="32"/>
        </w:rPr>
        <w:t>部分绩效指标设定不易量化，只能用定性方法考核，造成评分具有一定主观性;</w:t>
      </w:r>
      <w:r>
        <w:rPr>
          <w:rFonts w:hint="eastAsia" w:ascii="仿宋_GB2312" w:hAnsi="仿宋_GB2312" w:eastAsia="仿宋_GB2312" w:cs="仿宋_GB2312"/>
          <w:sz w:val="32"/>
          <w:szCs w:val="32"/>
        </w:rPr>
        <w:t>二是</w:t>
      </w:r>
      <w:r>
        <w:rPr>
          <w:rFonts w:hint="eastAsia" w:ascii="仿宋" w:hAnsi="仿宋" w:eastAsia="仿宋"/>
          <w:sz w:val="32"/>
          <w:szCs w:val="32"/>
        </w:rPr>
        <w:t>部分评价指标的设置不够合理和科学</w:t>
      </w:r>
      <w:r>
        <w:rPr>
          <w:rFonts w:hint="eastAsia" w:ascii="仿宋" w:hAnsi="仿宋" w:eastAsia="仿宋"/>
          <w:sz w:val="32"/>
          <w:szCs w:val="32"/>
          <w:lang w:eastAsia="zh-CN"/>
        </w:rPr>
        <w:t>。</w:t>
      </w:r>
      <w:r>
        <w:rPr>
          <w:rFonts w:hint="eastAsia" w:ascii="仿宋_GB2312" w:hAnsi="仿宋_GB2312" w:eastAsia="仿宋_GB2312" w:cs="仿宋_GB2312"/>
          <w:sz w:val="32"/>
          <w:szCs w:val="32"/>
        </w:rPr>
        <w:t>下一步改进措施：一是</w:t>
      </w:r>
      <w:r>
        <w:rPr>
          <w:rFonts w:hint="eastAsia" w:ascii="仿宋" w:hAnsi="仿宋" w:eastAsia="仿宋"/>
          <w:sz w:val="32"/>
          <w:szCs w:val="32"/>
        </w:rPr>
        <w:t>在工作中根据不断出现的新情况和发现的新问题，逐步完善项目绩效评价管理体系，进一步提高项目绩效管理水平；</w:t>
      </w:r>
      <w:r>
        <w:rPr>
          <w:rFonts w:hint="eastAsia" w:ascii="仿宋_GB2312" w:hAnsi="仿宋_GB2312" w:eastAsia="仿宋_GB2312" w:cs="仿宋_GB2312"/>
          <w:sz w:val="32"/>
          <w:szCs w:val="32"/>
        </w:rPr>
        <w:t>二是</w:t>
      </w:r>
      <w:r>
        <w:rPr>
          <w:rFonts w:hint="eastAsia" w:ascii="仿宋" w:hAnsi="仿宋" w:eastAsia="仿宋"/>
          <w:sz w:val="32"/>
          <w:szCs w:val="32"/>
        </w:rPr>
        <w:t>对相关人员加强培训，特别是针对</w:t>
      </w:r>
      <w:r>
        <w:rPr>
          <w:rFonts w:hint="eastAsia" w:ascii="仿宋" w:hAnsi="仿宋" w:eastAsia="仿宋"/>
          <w:sz w:val="32"/>
          <w:szCs w:val="32"/>
          <w:lang w:eastAsia="zh-CN"/>
        </w:rPr>
        <w:t>《中华人民共和国预算法》</w:t>
      </w:r>
      <w:r>
        <w:rPr>
          <w:rFonts w:hint="eastAsia" w:ascii="仿宋" w:hAnsi="仿宋" w:eastAsia="仿宋"/>
          <w:sz w:val="32"/>
          <w:szCs w:val="32"/>
        </w:rPr>
        <w:t>，《行政事业单位会计制度》 ,绩效评价相关方针、政策以及市财政有关规定等的学习培训，切实提高部</w:t>
      </w:r>
      <w:r>
        <w:rPr>
          <w:rFonts w:hint="eastAsia" w:ascii="仿宋" w:hAnsi="仿宋" w:eastAsia="仿宋"/>
          <w:sz w:val="32"/>
          <w:szCs w:val="32"/>
          <w:lang w:eastAsia="zh-CN"/>
        </w:rPr>
        <w:t>门</w:t>
      </w:r>
      <w:r>
        <w:rPr>
          <w:rFonts w:hint="eastAsia" w:ascii="仿宋" w:hAnsi="仿宋" w:eastAsia="仿宋"/>
          <w:sz w:val="32"/>
          <w:szCs w:val="32"/>
        </w:rPr>
        <w:t>绩效目标管理水平</w:t>
      </w:r>
      <w:r>
        <w:rPr>
          <w:rFonts w:hint="eastAsia" w:ascii="仿宋_GB2312" w:hAnsi="仿宋_GB2312" w:eastAsia="仿宋_GB2312" w:cs="仿宋_GB2312"/>
          <w:sz w:val="32"/>
          <w:szCs w:val="32"/>
        </w:rPr>
        <w:t>。</w:t>
      </w:r>
    </w:p>
    <w:p>
      <w:pPr>
        <w:numPr>
          <w:ilvl w:val="0"/>
          <w:numId w:val="2"/>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eastAsia="zh-CN"/>
        </w:rPr>
        <w:t>财政评价项目绩效评价结果。</w:t>
      </w:r>
    </w:p>
    <w:p>
      <w:pPr>
        <w:numPr>
          <w:ilvl w:val="0"/>
          <w:numId w:val="0"/>
        </w:numPr>
        <w:adjustRightInd w:val="0"/>
        <w:snapToGrid w:val="0"/>
        <w:spacing w:line="580" w:lineRule="exact"/>
        <w:ind w:firstLine="643" w:firstLineChars="200"/>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eastAsia="zh-CN"/>
        </w:rPr>
        <w:t>无。</w:t>
      </w:r>
    </w:p>
    <w:p>
      <w:pPr>
        <w:keepNext/>
        <w:keepLines/>
        <w:numPr>
          <w:ilvl w:val="0"/>
          <w:numId w:val="3"/>
        </w:numPr>
        <w:snapToGrid w:val="0"/>
        <w:spacing w:line="580" w:lineRule="exact"/>
        <w:ind w:firstLine="640" w:firstLineChars="200"/>
        <w:outlineLvl w:val="1"/>
        <w:rPr>
          <w:rFonts w:hint="eastAsia" w:ascii="黑体" w:hAnsi="Calibri" w:eastAsia="黑体" w:cs="Times New Roman"/>
          <w:sz w:val="32"/>
          <w:szCs w:val="32"/>
        </w:rPr>
      </w:pPr>
      <w:r>
        <w:rPr>
          <w:rFonts w:hint="eastAsia" w:ascii="黑体" w:hAnsi="Calibri" w:eastAsia="黑体" w:cs="Times New Roman"/>
          <w:sz w:val="32"/>
          <w:szCs w:val="32"/>
        </w:rPr>
        <w:t>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757.19</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205.67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27.16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2018年装备款结余至2019年进行了统一招标</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196.53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Times New Roman" w:eastAsia="仿宋_GB2312" w:cs="DengXian-Regular"/>
          <w:sz w:val="32"/>
          <w:szCs w:val="32"/>
          <w:lang w:val="en-US" w:eastAsia="zh-CN"/>
        </w:rPr>
        <w:t>196.53</w:t>
      </w:r>
      <w:r>
        <w:rPr>
          <w:rFonts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，其中</w:t>
      </w:r>
      <w:r>
        <w:rPr>
          <w:rFonts w:hint="eastAsia" w:ascii="仿宋_GB2312" w:hAnsi="仿宋_GB2312" w:eastAsia="仿宋_GB2312" w:cs="仿宋_GB2312"/>
          <w:color w:val="000000"/>
          <w:kern w:val="0"/>
          <w:sz w:val="32"/>
          <w:szCs w:val="32"/>
          <w:lang w:val="en-US" w:eastAsia="zh-CN" w:bidi="ar"/>
        </w:rPr>
        <w:t>196.53万元为中小企业采购项目。</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辆，比上年减少</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辆，主要是</w:t>
      </w:r>
      <w:r>
        <w:rPr>
          <w:rFonts w:hint="eastAsia" w:ascii="仿宋_GB2312" w:eastAsia="仿宋_GB2312" w:cs="DengXian-Regular"/>
          <w:sz w:val="32"/>
          <w:szCs w:val="32"/>
          <w:lang w:eastAsia="zh-CN"/>
        </w:rPr>
        <w:t>合理报废</w:t>
      </w:r>
      <w:r>
        <w:rPr>
          <w:rFonts w:hint="eastAsia" w:ascii="仿宋_GB2312" w:eastAsia="仿宋_GB2312" w:cs="DengXian-Regular"/>
          <w:sz w:val="32"/>
          <w:szCs w:val="32"/>
          <w:lang w:val="en-US" w:eastAsia="zh-CN"/>
        </w:rPr>
        <w:t>2辆</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w:t>
      </w:r>
      <w:r>
        <w:rPr>
          <w:rFonts w:hint="eastAsia" w:ascii="仿宋_GB2312" w:eastAsia="仿宋_GB2312" w:cs="DengXian-Regular"/>
          <w:sz w:val="32"/>
          <w:szCs w:val="32"/>
          <w:highlight w:val="none"/>
        </w:rPr>
        <w:t>增加</w:t>
      </w:r>
      <w:r>
        <w:rPr>
          <w:rFonts w:hint="eastAsia" w:ascii="仿宋_GB2312" w:eastAsia="仿宋_GB2312" w:cs="DengXian-Regular"/>
          <w:sz w:val="32"/>
          <w:szCs w:val="32"/>
          <w:highlight w:val="none"/>
          <w:lang w:val="en-US" w:eastAsia="zh-CN"/>
        </w:rPr>
        <w:t>0</w:t>
      </w:r>
      <w:r>
        <w:rPr>
          <w:rFonts w:hint="eastAsia" w:ascii="仿宋_GB2312" w:eastAsia="仿宋_GB2312" w:cs="DengXian-Regular"/>
          <w:sz w:val="32"/>
          <w:szCs w:val="32"/>
          <w:highlight w:val="none"/>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1、本部门2018年度政府性基金预算财政拨款收入支出决算表，国有资本经营预算财政拨款支出决算表，政府采购情况表无收支及结转结余情况，故以空表列示。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1792"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4pt;margin-top:29.3pt;height:43.95pt;width:301.85pt;mso-position-horizontal-relative:page;mso-position-vertical-relative:page;z-index:25168179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ASfsrO2wAAAAsBAAAPAAAAAAAAAAEAIAAAACIAAABkcnMvZG93bnJldi54&#10;bWxQSwECFAAUAAAACACHTuJA6M8LS00DAABqCQAADgAAAAAAAAABACAAAAAqAQAAZHJzL2Uyb0Rv&#10;Yy54bWxQSwUGAAAAAAYABgBZAQAA6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kPFCr0AAADb&#10;AAAADwAAAGRycy9kb3ducmV2LnhtbEWPT2sCMRTE7wW/Q3hCbzVRwdqt0YO02JP138HjY/O6Wbp5&#10;WZOo67dvBKHHYWZ+w8wWnWvEhUKsPWsYDhQI4tKbmisNh/3nyxRETMgGG8+k4UYRFvPe0wwL46+8&#10;pcsuVSJDOBaowabUFlLG0pLDOPAtcfZ+fHCYsgyVNAGvGe4aOVJqIh3WnBcstrS0VP7uzk7D5ry2&#10;1fgYXvdp1XYfRzXZmO+T1s/9oXoHkahL/+FH+8toeBvB/Uv+AX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Q8UK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jqHhbgAAADb&#10;AAAADwAAAGRycy9kb3ducmV2LnhtbEWPzQrCMBCE74LvEFbwpqkK/lTTHgTBgxe1eF6btS02m9JE&#10;q29vBMHjMDPfMJv0ZWrxpNZVlhVMxhEI4tzqigsF2Xk3WoJwHlljbZkUvMlBmvR7G4y17fhIz5Mv&#10;RICwi1FB6X0TS+nykgy6sW2Ig3ezrUEfZFtI3WIX4KaW0yiaS4MVh4USG9qWlN9PD6PAVIvb43o5&#10;1EcnD8ucssJm206p4WASrUF4evl/+NfeawWrGXy/hB8gk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jqHhb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jc w:val="center"/>
        <w:rPr>
          <w:rFonts w:ascii="黑体" w:hAnsi="黑体" w:eastAsia="黑体" w:cs="黑体"/>
          <w:sz w:val="56"/>
          <w:szCs w:val="72"/>
        </w:rPr>
      </w:pPr>
    </w:p>
    <w:p>
      <w:pPr>
        <w:jc w:val="center"/>
        <w:rPr>
          <w:rFonts w:ascii="黑体" w:hAnsi="黑体" w:eastAsia="黑体" w:cs="黑体"/>
          <w:sz w:val="56"/>
          <w:szCs w:val="72"/>
        </w:rPr>
        <w:sectPr>
          <w:headerReference r:id="rId13"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462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462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5"/>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564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564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5"/>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39"/>
        <w:gridCol w:w="3326"/>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1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赵县人民法院</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1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80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1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1629.14</w:t>
            </w: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9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1532.52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67.02</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34.63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45.71</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1629.14</w:t>
            </w: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1679.87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398.02</w:t>
            </w: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347.29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2027.16</w:t>
            </w:r>
            <w:r>
              <w:rPr>
                <w:rFonts w:hint="eastAsia" w:ascii="宋体" w:hAnsi="宋体" w:eastAsia="宋体" w:cs="宋体"/>
                <w:color w:val="000000"/>
                <w:kern w:val="0"/>
                <w:sz w:val="22"/>
                <w:lang w:bidi="ar"/>
              </w:rPr>
              <w:t>　</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2027.16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10067" w:type="dxa"/>
        <w:jc w:val="center"/>
        <w:tblLayout w:type="fixed"/>
        <w:tblCellMar>
          <w:top w:w="0" w:type="dxa"/>
          <w:left w:w="0" w:type="dxa"/>
          <w:bottom w:w="0" w:type="dxa"/>
          <w:right w:w="0" w:type="dxa"/>
        </w:tblCellMar>
      </w:tblPr>
      <w:tblGrid>
        <w:gridCol w:w="804"/>
        <w:gridCol w:w="46"/>
        <w:gridCol w:w="240"/>
        <w:gridCol w:w="2378"/>
        <w:gridCol w:w="1153"/>
        <w:gridCol w:w="1153"/>
        <w:gridCol w:w="858"/>
        <w:gridCol w:w="858"/>
        <w:gridCol w:w="858"/>
        <w:gridCol w:w="858"/>
        <w:gridCol w:w="861"/>
      </w:tblGrid>
      <w:tr>
        <w:tblPrEx>
          <w:tblCellMar>
            <w:top w:w="0" w:type="dxa"/>
            <w:left w:w="0" w:type="dxa"/>
            <w:bottom w:w="0" w:type="dxa"/>
            <w:right w:w="0" w:type="dxa"/>
          </w:tblCellMar>
        </w:tblPrEx>
        <w:trPr>
          <w:trHeight w:val="670" w:hRule="atLeast"/>
          <w:jc w:val="center"/>
        </w:trPr>
        <w:tc>
          <w:tcPr>
            <w:tcW w:w="10067"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80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1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80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p>
        </w:tc>
        <w:tc>
          <w:tcPr>
            <w:tcW w:w="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78"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赵县人民法院</w:t>
            </w: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46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1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8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8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8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8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0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3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46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46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1629.14</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1629.14</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公共安全支出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1481.79</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1481.79</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20405</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法院</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1481.79</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1481.79</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2040501</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1242.39</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1242.39</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2040599</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其他法院支出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239.4</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239.4</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社会保障和就业支出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行政事业单位离退休</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行政事业单位基本养老保险缴费支出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20808</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抚恤</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卫生健康支出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60"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行政事业单位医疗</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行政单位医疗</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住房保障支出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住房改革支出</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22102011</w:t>
            </w:r>
          </w:p>
        </w:tc>
        <w:tc>
          <w:tcPr>
            <w:tcW w:w="23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住房公积金</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85" w:hRule="atLeast"/>
          <w:jc w:val="center"/>
        </w:trPr>
        <w:tc>
          <w:tcPr>
            <w:tcW w:w="10067"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79" w:type="dxa"/>
        <w:jc w:val="center"/>
        <w:tblLayout w:type="fixed"/>
        <w:tblCellMar>
          <w:top w:w="0" w:type="dxa"/>
          <w:left w:w="0" w:type="dxa"/>
          <w:bottom w:w="0" w:type="dxa"/>
          <w:right w:w="0" w:type="dxa"/>
        </w:tblCellMar>
      </w:tblPr>
      <w:tblGrid>
        <w:gridCol w:w="940"/>
        <w:gridCol w:w="53"/>
        <w:gridCol w:w="240"/>
        <w:gridCol w:w="2040"/>
        <w:gridCol w:w="931"/>
        <w:gridCol w:w="1082"/>
        <w:gridCol w:w="1101"/>
        <w:gridCol w:w="1045"/>
        <w:gridCol w:w="987"/>
        <w:gridCol w:w="1260"/>
      </w:tblGrid>
      <w:tr>
        <w:tblPrEx>
          <w:tblCellMar>
            <w:top w:w="0" w:type="dxa"/>
            <w:left w:w="0" w:type="dxa"/>
            <w:bottom w:w="0" w:type="dxa"/>
            <w:right w:w="0" w:type="dxa"/>
          </w:tblCellMar>
        </w:tblPrEx>
        <w:trPr>
          <w:trHeight w:val="612" w:hRule="atLeast"/>
          <w:jc w:val="center"/>
        </w:trPr>
        <w:tc>
          <w:tcPr>
            <w:tcW w:w="9679"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8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60"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4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赵县人民法院</w:t>
            </w:r>
          </w:p>
        </w:tc>
        <w:tc>
          <w:tcPr>
            <w:tcW w:w="9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4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327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3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0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0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98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2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23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27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327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1679.87</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1504.46</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175.42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公共安全支出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1357.11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76"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法院</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1357.11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7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行政运行</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1329.71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1329.71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76"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2040599</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其他法院支出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202.81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27.4</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76"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社会保障和就业支出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76"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行政事业单位离退休</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23"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2080505</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行政事业单位基本养老保险缴费支出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20808</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抚恤</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2080801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死亡抚恤</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4"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卫生健康支出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行政事业单位医疗</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4"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行政单位医疗</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住房保障支出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95"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住房改革支出</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4" w:hRule="atLeast"/>
          <w:jc w:val="center"/>
        </w:trPr>
        <w:tc>
          <w:tcPr>
            <w:tcW w:w="123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22102011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住房公积金</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0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9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23" w:hRule="atLeast"/>
          <w:jc w:val="center"/>
        </w:trPr>
        <w:tc>
          <w:tcPr>
            <w:tcW w:w="9679"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10292" w:type="dxa"/>
        <w:jc w:val="center"/>
        <w:tblLayout w:type="fixed"/>
        <w:tblCellMar>
          <w:top w:w="0" w:type="dxa"/>
          <w:left w:w="0" w:type="dxa"/>
          <w:bottom w:w="0" w:type="dxa"/>
          <w:right w:w="0" w:type="dxa"/>
        </w:tblCellMar>
      </w:tblPr>
      <w:tblGrid>
        <w:gridCol w:w="2922"/>
        <w:gridCol w:w="425"/>
        <w:gridCol w:w="815"/>
        <w:gridCol w:w="2793"/>
        <w:gridCol w:w="507"/>
        <w:gridCol w:w="837"/>
        <w:gridCol w:w="817"/>
        <w:gridCol w:w="1176"/>
      </w:tblGrid>
      <w:tr>
        <w:tblPrEx>
          <w:tblCellMar>
            <w:top w:w="0" w:type="dxa"/>
            <w:left w:w="0" w:type="dxa"/>
            <w:bottom w:w="0" w:type="dxa"/>
            <w:right w:w="0" w:type="dxa"/>
          </w:tblCellMar>
        </w:tblPrEx>
        <w:trPr>
          <w:trHeight w:val="406" w:hRule="atLeast"/>
          <w:jc w:val="center"/>
        </w:trPr>
        <w:tc>
          <w:tcPr>
            <w:tcW w:w="10292"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176"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9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3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赵县人民法院</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9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3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1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6130"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1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11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519"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1629.14</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1629.14</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1679.87</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1679.87</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398.02</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347.29</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347.29</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398.02</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89"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2027.16</w:t>
            </w:r>
          </w:p>
        </w:tc>
        <w:tc>
          <w:tcPr>
            <w:tcW w:w="2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2027.16</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2027.16</w:t>
            </w:r>
          </w:p>
        </w:tc>
        <w:tc>
          <w:tcPr>
            <w:tcW w:w="11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0292"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10207" w:type="dxa"/>
        <w:jc w:val="center"/>
        <w:tblLayout w:type="fixed"/>
        <w:tblCellMar>
          <w:top w:w="0" w:type="dxa"/>
          <w:left w:w="0" w:type="dxa"/>
          <w:bottom w:w="0" w:type="dxa"/>
          <w:right w:w="0" w:type="dxa"/>
        </w:tblCellMar>
      </w:tblPr>
      <w:tblGrid>
        <w:gridCol w:w="800"/>
        <w:gridCol w:w="45"/>
        <w:gridCol w:w="45"/>
        <w:gridCol w:w="4366"/>
        <w:gridCol w:w="1673"/>
        <w:gridCol w:w="1673"/>
        <w:gridCol w:w="1605"/>
      </w:tblGrid>
      <w:tr>
        <w:tblPrEx>
          <w:tblCellMar>
            <w:top w:w="0" w:type="dxa"/>
            <w:left w:w="0" w:type="dxa"/>
            <w:bottom w:w="0" w:type="dxa"/>
            <w:right w:w="0" w:type="dxa"/>
          </w:tblCellMar>
        </w:tblPrEx>
        <w:trPr>
          <w:trHeight w:val="600" w:hRule="atLeast"/>
          <w:jc w:val="center"/>
        </w:trPr>
        <w:tc>
          <w:tcPr>
            <w:tcW w:w="10207"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8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6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7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7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80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66"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赵县人民法院</w:t>
            </w:r>
          </w:p>
        </w:tc>
        <w:tc>
          <w:tcPr>
            <w:tcW w:w="167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7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5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95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8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43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6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6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6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8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3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3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2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6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6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56" w:type="dxa"/>
            <w:gridSpan w:val="4"/>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7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1679.87</w:t>
            </w:r>
          </w:p>
        </w:tc>
        <w:tc>
          <w:tcPr>
            <w:tcW w:w="167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1504.46</w:t>
            </w:r>
          </w:p>
        </w:tc>
        <w:tc>
          <w:tcPr>
            <w:tcW w:w="160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175.42</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公共安全支出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1357.11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法院</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1532.52</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1357.11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2040501</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行政运行</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1329.71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1329.71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2040599</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其他法院支出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202.81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27.4</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175.42</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社会保障和就业支出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67.02</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行政事业单位离退休</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2080505</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行政事业单位基本养老保险缴费支出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20808</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抚恤</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2080801</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死亡抚恤</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15.11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卫生健康支出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行政事业单位医疗</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2101101</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行政单位医疗</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34.63</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住房保障支出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w:t>
            </w:r>
          </w:p>
        </w:tc>
        <w:tc>
          <w:tcPr>
            <w:tcW w:w="43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住房改革支出</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7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0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90" w:type="dxa"/>
            <w:gridSpan w:val="3"/>
            <w:tcBorders>
              <w:top w:val="single" w:color="auto" w:sz="4" w:space="0"/>
              <w:left w:val="single" w:color="auto" w:sz="4" w:space="0"/>
              <w:bottom w:val="single" w:color="auto" w:sz="4" w:space="0"/>
              <w:right w:val="single" w:color="auto" w:sz="4" w:space="0"/>
            </w:tcBorders>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22102011</w:t>
            </w:r>
          </w:p>
        </w:tc>
        <w:tc>
          <w:tcPr>
            <w:tcW w:w="43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住房公积金</w:t>
            </w:r>
          </w:p>
        </w:tc>
        <w:tc>
          <w:tcPr>
            <w:tcW w:w="1673" w:type="dxa"/>
            <w:tcBorders>
              <w:top w:val="single" w:color="auto" w:sz="4" w:space="0"/>
              <w:left w:val="single" w:color="auto" w:sz="4" w:space="0"/>
              <w:bottom w:val="single" w:color="auto" w:sz="4" w:space="0"/>
              <w:right w:val="single" w:color="auto" w:sz="4" w:space="0"/>
            </w:tcBorders>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73" w:type="dxa"/>
            <w:tcBorders>
              <w:top w:val="single" w:color="auto" w:sz="4" w:space="0"/>
              <w:left w:val="single" w:color="auto" w:sz="4" w:space="0"/>
              <w:bottom w:val="single" w:color="auto" w:sz="4" w:space="0"/>
              <w:right w:val="single" w:color="auto" w:sz="4" w:space="0"/>
            </w:tcBorders>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45.71</w:t>
            </w:r>
          </w:p>
        </w:tc>
        <w:tc>
          <w:tcPr>
            <w:tcW w:w="1605" w:type="dxa"/>
            <w:tcBorders>
              <w:top w:val="single" w:color="auto" w:sz="4" w:space="0"/>
              <w:left w:val="single" w:color="auto" w:sz="4" w:space="0"/>
              <w:bottom w:val="single" w:color="auto" w:sz="4" w:space="0"/>
              <w:right w:val="single" w:color="auto" w:sz="4" w:space="0"/>
            </w:tcBorders>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679.66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561.6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296.46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28.91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161.22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195.59</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89.73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70.51</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51.91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23.57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38.35</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56.51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34.63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86.74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21.57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38.95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67.61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52.5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15.11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7.71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243.38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9.48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31.78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37.07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21.56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747.26</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757.19</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tabs>
                <w:tab w:val="center" w:pos="618"/>
                <w:tab w:val="right" w:pos="1357"/>
              </w:tabs>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ab/>
            </w:r>
            <w:r>
              <w:rPr>
                <w:rFonts w:hint="eastAsia" w:ascii="宋体" w:hAnsi="宋体" w:eastAsia="宋体" w:cs="宋体"/>
                <w:color w:val="000000"/>
                <w:sz w:val="22"/>
                <w:lang w:val="en-US" w:eastAsia="zh-CN"/>
              </w:rPr>
              <w:t>42.66</w:t>
            </w:r>
            <w:r>
              <w:rPr>
                <w:rFonts w:hint="eastAsia" w:ascii="宋体" w:hAnsi="宋体" w:eastAsia="宋体" w:cs="宋体"/>
                <w:color w:val="000000"/>
                <w:sz w:val="22"/>
                <w:lang w:val="en-US" w:eastAsia="zh-CN"/>
              </w:rPr>
              <w:tab/>
            </w:r>
            <w:r>
              <w:rPr>
                <w:rFonts w:hint="eastAsia" w:ascii="宋体" w:hAnsi="宋体" w:eastAsia="宋体" w:cs="宋体"/>
                <w:color w:val="000000"/>
                <w:sz w:val="22"/>
                <w:lang w:val="en-US" w:eastAsia="zh-CN"/>
              </w:rPr>
              <w:t>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42.66</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42.66</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31.78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31.78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31.78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Cs w:val="21"/>
          <w:lang w:bidi="ar"/>
        </w:rPr>
        <w:t xml:space="preserve"> </w:t>
      </w:r>
      <w:r>
        <w:rPr>
          <w:rFonts w:hint="eastAsia" w:ascii="宋体" w:hAnsi="宋体" w:cs="宋体"/>
          <w:color w:val="000000"/>
          <w:kern w:val="0"/>
          <w:sz w:val="22"/>
          <w:szCs w:val="22"/>
          <w:lang w:bidi="ar"/>
        </w:rPr>
        <w:t>注：本表反映部门本年度国有资本经营预算财政拨款支出情况。</w:t>
      </w:r>
      <w:r>
        <w:rPr>
          <w:rFonts w:hint="eastAsia" w:ascii="宋体" w:hAnsi="宋体" w:cs="宋体"/>
          <w:color w:val="000000"/>
          <w:kern w:val="0"/>
          <w:szCs w:val="21"/>
          <w:lang w:eastAsia="zh-CN" w:bidi="ar"/>
        </w:rPr>
        <w:t>本部门本年度无相关支出情况，按要求以空表列示。</w:t>
      </w:r>
      <w:r>
        <w:rPr>
          <w:rFonts w:hint="eastAsia" w:ascii="宋体" w:hAnsi="宋体" w:cs="宋体"/>
          <w:color w:val="000000"/>
          <w:kern w:val="0"/>
          <w:szCs w:val="21"/>
          <w:lang w:bidi="ar"/>
        </w:rPr>
        <w:t xml:space="preserve">          </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szCs w:val="22"/>
          <w:lang w:bidi="ar"/>
        </w:rPr>
        <w:t>注：本表反映部门本年度国有资本经营预算财政拨款支出情况。</w:t>
      </w:r>
      <w:r>
        <w:rPr>
          <w:rFonts w:hint="eastAsia" w:ascii="宋体" w:hAnsi="宋体" w:cs="宋体"/>
          <w:color w:val="000000"/>
          <w:kern w:val="0"/>
          <w:szCs w:val="21"/>
          <w:lang w:eastAsia="zh-CN" w:bidi="ar"/>
        </w:rPr>
        <w:t>本部门本年度无相关支出情况，按要求以空表列示。</w:t>
      </w:r>
      <w:r>
        <w:rPr>
          <w:rFonts w:hint="eastAsia" w:ascii="宋体" w:hAnsi="宋体" w:cs="宋体"/>
          <w:color w:val="000000"/>
          <w:kern w:val="0"/>
          <w:szCs w:val="21"/>
          <w:lang w:bidi="ar"/>
        </w:rPr>
        <w:t xml:space="preserve">      </w:t>
      </w:r>
      <w:r>
        <w:br w:type="page"/>
      </w:r>
    </w:p>
    <w:p>
      <w:r>
        <mc:AlternateContent>
          <mc:Choice Requires="wps">
            <w:drawing>
              <wp:anchor distT="0" distB="0" distL="114300" distR="114300" simplePos="0" relativeHeight="25167667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667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896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998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998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100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100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408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408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510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510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612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612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203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203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305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305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384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384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281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4864;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793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793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6912"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691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2DF19E"/>
    <w:multiLevelType w:val="singleLevel"/>
    <w:tmpl w:val="C32DF19E"/>
    <w:lvl w:ilvl="0" w:tentative="0">
      <w:start w:val="3"/>
      <w:numFmt w:val="decimal"/>
      <w:suff w:val="space"/>
      <w:lvlText w:val="%1."/>
      <w:lvlJc w:val="left"/>
    </w:lvl>
  </w:abstractNum>
  <w:abstractNum w:abstractNumId="1">
    <w:nsid w:val="C672C8E8"/>
    <w:multiLevelType w:val="singleLevel"/>
    <w:tmpl w:val="C672C8E8"/>
    <w:lvl w:ilvl="0" w:tentative="0">
      <w:start w:val="7"/>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JiMTk5YzVmMWM5NTYyNjdiMzgwYjBmODFjM2RhODE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3BBD"/>
    <w:rsid w:val="00E14F77"/>
    <w:rsid w:val="00E3076B"/>
    <w:rsid w:val="00E36978"/>
    <w:rsid w:val="00E82A1E"/>
    <w:rsid w:val="00EA05EC"/>
    <w:rsid w:val="00EC06F4"/>
    <w:rsid w:val="00EE4E36"/>
    <w:rsid w:val="00F665F4"/>
    <w:rsid w:val="00FD225F"/>
    <w:rsid w:val="05B00A30"/>
    <w:rsid w:val="06940DBD"/>
    <w:rsid w:val="06FC383B"/>
    <w:rsid w:val="08A166C4"/>
    <w:rsid w:val="08D95FA0"/>
    <w:rsid w:val="08E42426"/>
    <w:rsid w:val="0AC05939"/>
    <w:rsid w:val="0B011416"/>
    <w:rsid w:val="10247572"/>
    <w:rsid w:val="10385B78"/>
    <w:rsid w:val="162710F6"/>
    <w:rsid w:val="17416633"/>
    <w:rsid w:val="1A0405DE"/>
    <w:rsid w:val="1A623345"/>
    <w:rsid w:val="1CA3657E"/>
    <w:rsid w:val="1D1A44AA"/>
    <w:rsid w:val="26CF3E6A"/>
    <w:rsid w:val="27311702"/>
    <w:rsid w:val="28BA659F"/>
    <w:rsid w:val="2A333CF0"/>
    <w:rsid w:val="2A5747AA"/>
    <w:rsid w:val="2C747B7C"/>
    <w:rsid w:val="2E505CA0"/>
    <w:rsid w:val="31C2036A"/>
    <w:rsid w:val="31C64631"/>
    <w:rsid w:val="320D02A5"/>
    <w:rsid w:val="323173F1"/>
    <w:rsid w:val="332C64B7"/>
    <w:rsid w:val="3386103D"/>
    <w:rsid w:val="345D361A"/>
    <w:rsid w:val="348E566F"/>
    <w:rsid w:val="375B3A60"/>
    <w:rsid w:val="39115CA6"/>
    <w:rsid w:val="3951022C"/>
    <w:rsid w:val="3A226944"/>
    <w:rsid w:val="3AB96E8E"/>
    <w:rsid w:val="3AEE6A48"/>
    <w:rsid w:val="3BE26AEB"/>
    <w:rsid w:val="3C1620AA"/>
    <w:rsid w:val="3CAA61E0"/>
    <w:rsid w:val="3D5728DA"/>
    <w:rsid w:val="3D8F080F"/>
    <w:rsid w:val="3E577803"/>
    <w:rsid w:val="3F181701"/>
    <w:rsid w:val="4070732C"/>
    <w:rsid w:val="408A0863"/>
    <w:rsid w:val="42646FC6"/>
    <w:rsid w:val="44CE1FA4"/>
    <w:rsid w:val="44FB21D2"/>
    <w:rsid w:val="45CE2601"/>
    <w:rsid w:val="47DE5039"/>
    <w:rsid w:val="487F73ED"/>
    <w:rsid w:val="4A347EAE"/>
    <w:rsid w:val="4DAC01BC"/>
    <w:rsid w:val="4EBA3C0C"/>
    <w:rsid w:val="4F2B080E"/>
    <w:rsid w:val="518203FB"/>
    <w:rsid w:val="52600405"/>
    <w:rsid w:val="52664BBC"/>
    <w:rsid w:val="529B4319"/>
    <w:rsid w:val="57773DD6"/>
    <w:rsid w:val="578B79AB"/>
    <w:rsid w:val="57E30F0F"/>
    <w:rsid w:val="585131EF"/>
    <w:rsid w:val="58866418"/>
    <w:rsid w:val="58F2782F"/>
    <w:rsid w:val="596E0444"/>
    <w:rsid w:val="5CCD3FD5"/>
    <w:rsid w:val="5D4751EB"/>
    <w:rsid w:val="5DCE5556"/>
    <w:rsid w:val="5DEF0EEA"/>
    <w:rsid w:val="5EC065C2"/>
    <w:rsid w:val="5FCD57EE"/>
    <w:rsid w:val="61FA5F9D"/>
    <w:rsid w:val="644129D5"/>
    <w:rsid w:val="64CD6910"/>
    <w:rsid w:val="662129BF"/>
    <w:rsid w:val="6789158D"/>
    <w:rsid w:val="67D81BA4"/>
    <w:rsid w:val="692F5BD0"/>
    <w:rsid w:val="6A0D7658"/>
    <w:rsid w:val="6AAF1C96"/>
    <w:rsid w:val="6ABC2FD0"/>
    <w:rsid w:val="6D92790F"/>
    <w:rsid w:val="6FCB4EFE"/>
    <w:rsid w:val="70022BA8"/>
    <w:rsid w:val="72327644"/>
    <w:rsid w:val="75681757"/>
    <w:rsid w:val="75A346A8"/>
    <w:rsid w:val="79B9382C"/>
    <w:rsid w:val="7B043B76"/>
    <w:rsid w:val="7C041A6A"/>
    <w:rsid w:val="7CF260A8"/>
    <w:rsid w:val="7D822E2A"/>
    <w:rsid w:val="7DDE53F1"/>
    <w:rsid w:val="7E327570"/>
    <w:rsid w:val="7F3662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5.xml"/><Relationship Id="rId3" Type="http://schemas.openxmlformats.org/officeDocument/2006/relationships/header" Target="header1.xml"/><Relationship Id="rId29" Type="http://schemas.openxmlformats.org/officeDocument/2006/relationships/chart" Target="charts/chart4.xml"/><Relationship Id="rId28" Type="http://schemas.openxmlformats.org/officeDocument/2006/relationships/chart" Target="charts/chart3.xml"/><Relationship Id="rId27" Type="http://schemas.openxmlformats.org/officeDocument/2006/relationships/chart" Target="charts/chart2.xml"/><Relationship Id="rId26" Type="http://schemas.openxmlformats.org/officeDocument/2006/relationships/chart" Target="charts/chart1.xml"/><Relationship Id="rId25" Type="http://schemas.openxmlformats.org/officeDocument/2006/relationships/image" Target="media/image1.bmp"/><Relationship Id="rId24" Type="http://schemas.openxmlformats.org/officeDocument/2006/relationships/theme" Target="theme/theme1.xml"/><Relationship Id="rId23" Type="http://schemas.openxmlformats.org/officeDocument/2006/relationships/footer" Target="footer8.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24037;&#20316;&#31807;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cap="all" spc="150" baseline="0">
                <a:solidFill>
                  <a:schemeClr val="tx1">
                    <a:lumMod val="50000"/>
                    <a:lumOff val="50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tx>
            <c:strRef>
              <c:f>[工作簿1]Sheet1!$A$5</c:f>
              <c:strCache>
                <c:ptCount val="1"/>
                <c:pt idx="0">
                  <c:v>收入决算表</c:v>
                </c:pt>
              </c:strCache>
            </c:strRef>
          </c:tx>
          <c:spPr/>
          <c:explosion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[工作簿1]Sheet1!$B$4</c:f>
              <c:strCache>
                <c:ptCount val="1"/>
                <c:pt idx="0">
                  <c:v>财政拨款</c:v>
                </c:pt>
              </c:strCache>
            </c:strRef>
          </c:cat>
          <c:val>
            <c:numRef>
              <c:f>[工作簿1]Sheet1!$B$5</c:f>
              <c:numCache>
                <c:formatCode>0%</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cap="all" spc="150" baseline="0">
              <a:solidFill>
                <a:schemeClr val="tx1">
                  <a:lumMod val="50000"/>
                  <a:lumOff val="50000"/>
                </a:schemeClr>
              </a:solidFill>
              <a:latin typeface="+mn-lt"/>
              <a:ea typeface="+mn-ea"/>
              <a:cs typeface="+mn-cs"/>
            </a:defRPr>
          </a:pPr>
        </a:p>
      </c:txPr>
    </c:title>
    <c:autoTitleDeleted val="0"/>
    <c:plotArea>
      <c:layout/>
      <c:pieChart>
        <c:varyColors val="1"/>
        <c:ser>
          <c:idx val="0"/>
          <c:order val="0"/>
          <c:tx>
            <c:strRef>
              <c:f>[工作簿1]Sheet1!$A$5</c:f>
              <c:strCache>
                <c:ptCount val="1"/>
                <c:pt idx="0">
                  <c:v>支出构成情况</c:v>
                </c:pt>
              </c:strCache>
            </c:strRef>
          </c:tx>
          <c:spPr/>
          <c:explosion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[工作簿1]Sheet1!$B$4:$C$4</c:f>
              <c:strCache>
                <c:ptCount val="2"/>
                <c:pt idx="0" c:formatCode="0.00%">
                  <c:v>基本支出</c:v>
                </c:pt>
                <c:pt idx="1">
                  <c:v>项目支出</c:v>
                </c:pt>
              </c:strCache>
            </c:strRef>
          </c:cat>
          <c:val>
            <c:numRef>
              <c:f>[工作簿1]Sheet1!$B$5:$C$5</c:f>
              <c:numCache>
                <c:formatCode>0.00%</c:formatCode>
                <c:ptCount val="2"/>
                <c:pt idx="0">
                  <c:v>0.8956</c:v>
                </c:pt>
                <c:pt idx="1">
                  <c:v>0.1044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[工作簿1]Sheet1!$A$5</c:f>
              <c:strCache>
                <c:ptCount val="1"/>
                <c:pt idx="0">
                  <c:v>财政拨款收支情况</c:v>
                </c:pt>
              </c:strCache>
            </c:strRef>
          </c:tx>
          <c:spPr>
            <a:solidFill>
              <a:schemeClr val="accent1"/>
            </a:solidFill>
            <a:ln>
              <a:noFill/>
            </a:ln>
            <a:effectLst/>
          </c:spPr>
          <c:invertIfNegative val="0"/>
          <c:dLbls>
            <c:delete val="1"/>
          </c:dLbls>
          <c:cat>
            <c:strRef>
              <c:f>[工作簿1]Sheet1!$B$4:$F$4</c:f>
              <c:strCache>
                <c:ptCount val="5"/>
                <c:pt idx="0" c:formatCode="0.00_ ">
                  <c:v>2018年收入</c:v>
                </c:pt>
                <c:pt idx="1" c:formatCode="0.00_ ">
                  <c:v>2019年收入</c:v>
                </c:pt>
                <c:pt idx="3" c:formatCode="0.00_ ">
                  <c:v>2018年支出</c:v>
                </c:pt>
                <c:pt idx="4" c:formatCode="0.00_ ">
                  <c:v>2019年支出</c:v>
                </c:pt>
              </c:strCache>
            </c:strRef>
          </c:cat>
          <c:val>
            <c:numRef>
              <c:f>[工作簿1]Sheet1!$B$5:$F$5</c:f>
              <c:numCache>
                <c:formatCode>0.00_ </c:formatCode>
                <c:ptCount val="5"/>
                <c:pt idx="0">
                  <c:v>1711.49</c:v>
                </c:pt>
                <c:pt idx="1">
                  <c:v>2027.16</c:v>
                </c:pt>
                <c:pt idx="3">
                  <c:v>1333.39</c:v>
                </c:pt>
                <c:pt idx="4">
                  <c:v>1679.87</c:v>
                </c:pt>
              </c:numCache>
            </c:numRef>
          </c:val>
        </c:ser>
        <c:dLbls>
          <c:showLegendKey val="0"/>
          <c:showVal val="0"/>
          <c:showCatName val="0"/>
          <c:showSerName val="0"/>
          <c:showPercent val="0"/>
          <c:showBubbleSize val="0"/>
        </c:dLbls>
        <c:gapWidth val="219"/>
        <c:overlap val="-27"/>
        <c:axId val="996739279"/>
        <c:axId val="211461546"/>
      </c:barChart>
      <c:catAx>
        <c:axId val="9967392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1461546"/>
        <c:crosses val="autoZero"/>
        <c:auto val="1"/>
        <c:lblAlgn val="ctr"/>
        <c:lblOffset val="100"/>
        <c:noMultiLvlLbl val="0"/>
      </c:catAx>
      <c:valAx>
        <c:axId val="211461546"/>
        <c:scaling>
          <c:orientation val="minMax"/>
        </c:scaling>
        <c:delete val="0"/>
        <c:axPos val="l"/>
        <c:majorGridlines>
          <c:spPr>
            <a:ln w="9525" cap="flat" cmpd="sng" algn="ctr">
              <a:solidFill>
                <a:schemeClr val="tx1">
                  <a:lumMod val="15000"/>
                  <a:lumOff val="85000"/>
                </a:schemeClr>
              </a:solidFill>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67392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891992551210428"/>
          <c:y val="0.176951193291765"/>
          <c:w val="0.879010375099761"/>
          <c:h val="0.724446355622447"/>
        </c:manualLayout>
      </c:layout>
      <c:barChart>
        <c:barDir val="col"/>
        <c:grouping val="clustered"/>
        <c:varyColors val="0"/>
        <c:ser>
          <c:idx val="0"/>
          <c:order val="0"/>
          <c:tx>
            <c:strRef>
              <c:f>[工作簿1]Sheet1!$A$5</c:f>
              <c:strCache>
                <c:ptCount val="1"/>
                <c:pt idx="0">
                  <c:v>财政拨款收支预决算对比情况</c:v>
                </c:pt>
              </c:strCache>
            </c:strRef>
          </c:tx>
          <c:spPr>
            <a:solidFill>
              <a:schemeClr val="accent1"/>
            </a:solidFill>
            <a:ln>
              <a:noFill/>
            </a:ln>
            <a:effectLst/>
          </c:spPr>
          <c:invertIfNegative val="0"/>
          <c:dLbls>
            <c:delete val="1"/>
          </c:dLbls>
          <c:cat>
            <c:strRef>
              <c:f>[工作簿1]Sheet1!$B$4:$F$4</c:f>
              <c:strCache>
                <c:ptCount val="5"/>
                <c:pt idx="0">
                  <c:v>收入预算数</c:v>
                </c:pt>
                <c:pt idx="1">
                  <c:v>收入决算数</c:v>
                </c:pt>
                <c:pt idx="3">
                  <c:v>支出预算数</c:v>
                </c:pt>
                <c:pt idx="4">
                  <c:v>支出决算数</c:v>
                </c:pt>
              </c:strCache>
            </c:strRef>
          </c:cat>
          <c:val>
            <c:numRef>
              <c:f>[工作簿1]Sheet1!$B$5:$F$5</c:f>
              <c:numCache>
                <c:formatCode>General</c:formatCode>
                <c:ptCount val="5"/>
                <c:pt idx="0">
                  <c:v>1751.78</c:v>
                </c:pt>
                <c:pt idx="1">
                  <c:v>2027.16</c:v>
                </c:pt>
                <c:pt idx="3">
                  <c:v>1751.78</c:v>
                </c:pt>
                <c:pt idx="4">
                  <c:v>1679.87</c:v>
                </c:pt>
              </c:numCache>
            </c:numRef>
          </c:val>
        </c:ser>
        <c:dLbls>
          <c:showLegendKey val="0"/>
          <c:showVal val="0"/>
          <c:showCatName val="0"/>
          <c:showSerName val="0"/>
          <c:showPercent val="0"/>
          <c:showBubbleSize val="0"/>
        </c:dLbls>
        <c:gapWidth val="219"/>
        <c:overlap val="-27"/>
        <c:axId val="31344432"/>
        <c:axId val="969749655"/>
      </c:barChart>
      <c:catAx>
        <c:axId val="3134443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9749655"/>
        <c:crosses val="autoZero"/>
        <c:auto val="1"/>
        <c:lblAlgn val="ctr"/>
        <c:lblOffset val="100"/>
        <c:noMultiLvlLbl val="0"/>
      </c:catAx>
      <c:valAx>
        <c:axId val="969749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44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cap="all" spc="150" baseline="0">
              <a:solidFill>
                <a:schemeClr val="tx1">
                  <a:lumMod val="50000"/>
                  <a:lumOff val="50000"/>
                </a:schemeClr>
              </a:solidFill>
              <a:latin typeface="+mn-lt"/>
              <a:ea typeface="+mn-ea"/>
              <a:cs typeface="+mn-cs"/>
            </a:defRPr>
          </a:pPr>
        </a:p>
      </c:txPr>
    </c:title>
    <c:autoTitleDeleted val="0"/>
    <c:plotArea>
      <c:layout/>
      <c:pieChart>
        <c:varyColors val="1"/>
        <c:ser>
          <c:idx val="0"/>
          <c:order val="0"/>
          <c:tx>
            <c:strRef>
              <c:f>[工作簿1]Sheet1!$A$5</c:f>
              <c:strCache>
                <c:ptCount val="1"/>
                <c:pt idx="0">
                  <c:v>财政拨款支出决算结构</c:v>
                </c:pt>
              </c:strCache>
            </c:strRef>
          </c:tx>
          <c:spPr/>
          <c:explosion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[工作簿1]Sheet1!$B$4:$E$4</c:f>
              <c:strCache>
                <c:ptCount val="4"/>
                <c:pt idx="0" c:formatCode="0.00%">
                  <c:v>公共安全类支出</c:v>
                </c:pt>
                <c:pt idx="1" c:formatCode="0.00%">
                  <c:v>社会保障和就业支出</c:v>
                </c:pt>
                <c:pt idx="2" c:formatCode="0.00%">
                  <c:v>卫生健康支出</c:v>
                </c:pt>
                <c:pt idx="3" c:formatCode="0.00%">
                  <c:v>住房保障支出</c:v>
                </c:pt>
              </c:strCache>
            </c:strRef>
          </c:cat>
          <c:val>
            <c:numRef>
              <c:f>[工作簿1]Sheet1!$B$5:$E$5</c:f>
              <c:numCache>
                <c:formatCode>0.00%</c:formatCode>
                <c:ptCount val="4"/>
                <c:pt idx="0">
                  <c:v>0.9123</c:v>
                </c:pt>
                <c:pt idx="1">
                  <c:v>0.0399</c:v>
                </c:pt>
                <c:pt idx="2">
                  <c:v>0.0206</c:v>
                </c:pt>
                <c:pt idx="3">
                  <c:v>0.0272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3</TotalTime>
  <ScaleCrop>false</ScaleCrop>
  <LinksUpToDate>false</LinksUpToDate>
  <CharactersWithSpaces>11119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Amber 李西西</cp:lastModifiedBy>
  <cp:lastPrinted>2020-07-30T02:37:00Z</cp:lastPrinted>
  <dcterms:modified xsi:type="dcterms:W3CDTF">2024-01-12T12:48:18Z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A2BC4BE63013438A9EA747C3A30DE2BF</vt:lpwstr>
  </property>
</Properties>
</file>